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22E0D" w14:textId="77777777" w:rsidR="00803213" w:rsidRDefault="00803213" w:rsidP="00803213">
      <w:pPr>
        <w:pStyle w:val="Heading5"/>
        <w:ind w:left="147" w:right="115"/>
      </w:pPr>
      <w:r>
        <w:t>Terms</w:t>
      </w:r>
      <w:r>
        <w:rPr>
          <w:spacing w:val="-2"/>
        </w:rPr>
        <w:t xml:space="preserve"> </w:t>
      </w:r>
      <w:r>
        <w:t>of</w:t>
      </w:r>
      <w:r>
        <w:rPr>
          <w:spacing w:val="-6"/>
        </w:rPr>
        <w:t xml:space="preserve"> </w:t>
      </w:r>
      <w:r>
        <w:rPr>
          <w:spacing w:val="-2"/>
        </w:rPr>
        <w:t>Reference</w:t>
      </w:r>
    </w:p>
    <w:p w14:paraId="69DD8C9A" w14:textId="77777777" w:rsidR="00803213" w:rsidRDefault="00803213" w:rsidP="00803213">
      <w:pPr>
        <w:widowControl/>
        <w:autoSpaceDE/>
        <w:autoSpaceDN/>
        <w:spacing w:after="80"/>
        <w:jc w:val="center"/>
        <w:rPr>
          <w:rFonts w:ascii="Arial" w:eastAsia="Arial" w:hAnsi="Arial" w:cs="Arial"/>
          <w:b/>
          <w:bCs/>
          <w:sz w:val="28"/>
          <w:szCs w:val="28"/>
        </w:rPr>
      </w:pPr>
    </w:p>
    <w:p w14:paraId="7367CEA7" w14:textId="736F0748" w:rsidR="00803213" w:rsidRPr="00B360FF" w:rsidRDefault="00803213" w:rsidP="00803213">
      <w:pPr>
        <w:widowControl/>
        <w:autoSpaceDE/>
        <w:autoSpaceDN/>
        <w:spacing w:after="80"/>
        <w:jc w:val="center"/>
        <w:rPr>
          <w:rFonts w:eastAsia="Arial"/>
          <w:sz w:val="28"/>
          <w:szCs w:val="28"/>
        </w:rPr>
      </w:pPr>
      <w:r w:rsidRPr="00B360FF">
        <w:rPr>
          <w:rFonts w:eastAsia="Arial"/>
          <w:b/>
          <w:bCs/>
          <w:sz w:val="28"/>
          <w:szCs w:val="28"/>
        </w:rPr>
        <w:t xml:space="preserve">Serbia Competitive Agriculture Project (SCAP) </w:t>
      </w:r>
    </w:p>
    <w:p w14:paraId="706FCD48" w14:textId="77777777" w:rsidR="00803213" w:rsidRPr="00B360FF" w:rsidRDefault="00803213" w:rsidP="00803213">
      <w:pPr>
        <w:widowControl/>
        <w:autoSpaceDE/>
        <w:autoSpaceDN/>
        <w:spacing w:after="240"/>
        <w:jc w:val="center"/>
        <w:rPr>
          <w:rFonts w:eastAsia="Arial"/>
          <w:sz w:val="28"/>
          <w:szCs w:val="28"/>
        </w:rPr>
      </w:pPr>
      <w:bookmarkStart w:id="0" w:name="_GoBack"/>
      <w:r w:rsidRPr="00B360FF">
        <w:rPr>
          <w:rFonts w:eastAsia="Arial"/>
          <w:b/>
          <w:bCs/>
          <w:sz w:val="28"/>
          <w:szCs w:val="28"/>
        </w:rPr>
        <w:t>Behavioral Agriculture Economics: Understanding Decision-Making Processes by Farmers</w:t>
      </w:r>
    </w:p>
    <w:bookmarkEnd w:id="0"/>
    <w:p w14:paraId="0C2343A9" w14:textId="77777777" w:rsidR="00803213" w:rsidRPr="00B360FF" w:rsidRDefault="00803213" w:rsidP="00803213">
      <w:pPr>
        <w:widowControl/>
        <w:autoSpaceDE/>
        <w:autoSpaceDN/>
        <w:spacing w:before="240" w:after="120"/>
        <w:outlineLvl w:val="1"/>
        <w:rPr>
          <w:rFonts w:eastAsia="Arial"/>
          <w:b/>
          <w:bCs/>
          <w:color w:val="000000"/>
          <w:sz w:val="24"/>
          <w:szCs w:val="24"/>
        </w:rPr>
      </w:pPr>
      <w:r w:rsidRPr="00B360FF">
        <w:rPr>
          <w:rFonts w:eastAsia="Arial"/>
          <w:b/>
          <w:bCs/>
          <w:color w:val="000000"/>
          <w:sz w:val="24"/>
          <w:szCs w:val="24"/>
        </w:rPr>
        <w:t>1. Background</w:t>
      </w:r>
    </w:p>
    <w:p w14:paraId="3FE771A7" w14:textId="11BE7AC6"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Serbia Competitive Agriculture Project (SCAP), a US$50 million investment, was approved by the World Bank in December 2019 and ratified by the National Assembly of the Republic of Serbia in February 2020. The objective of the Project is to improve access to markets and information systems for agricultural producers in Serbia. This will be achieved through a) improving productivity of small and medium scale farmers by strengthening advisory and technical support; b) supporting market access of small and medium scale farmers (including finance and business planning capacity); c) improving government systems to strengthen the enabling environment for all agricultural producers (including capacity building for the Ministry, information systems, and data platform).</w:t>
      </w:r>
    </w:p>
    <w:p w14:paraId="2CFFE38B" w14:textId="3FCBF52A"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Project will provide financial and technical support to all productive investments in agriculture in Serbia through the national rural development program¹ and will not finance direct payments (subsidies). This delimits the scope of Project interventions outside of all IPARD measures that the country has been accredited for or plans to be accredited for and puts it in the center of national rural development program.</w:t>
      </w:r>
    </w:p>
    <w:p w14:paraId="6FC91719" w14:textId="125923CE"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 xml:space="preserve">The project supports small and medium-scale agricultural production units, including producers, producer groups, and agribusinesses/agro-processors that provide direct links to smallholder farmers. The focus is on entities that have or can develop a commercial focus and are not covered by accredited IPARD measures. While large producers are not directly targeted, they also benefit from the enabling environment created </w:t>
      </w:r>
      <w:r w:rsidRPr="00B360FF">
        <w:rPr>
          <w:rFonts w:eastAsia="Arial"/>
          <w:sz w:val="24"/>
          <w:szCs w:val="24"/>
        </w:rPr>
        <w:lastRenderedPageBreak/>
        <w:t>through improvements in information systems and financial services. Small and medium-sized producers are classified based on the economic size of holdings, expressed in euros of standard output. Within the context of Serbia, small producers are those with an economic size of up to EUR 8,000, while medium producers fall within the range of EUR 8,000 to 25,000.</w:t>
      </w:r>
    </w:p>
    <w:p w14:paraId="1087FE7D" w14:textId="4BAA702C"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Project Description: The Project activities are structured into three Components. Component 1) will focus on improving the productive and entrepreneurial capacity of small and medium farmers by supporting business and financial planning for productive investments, as well as supporting market access and strengthening sector competitiveness. Component 2) will focus on improving the capacity of the Ministry of Agriculture, Forestry and Water Management (MAFWM) to provide core public goods for improving sector performance. This includes establishing an information system aligned with EU CAP requirements to enable evidence-based policy making and monitoring of results, enhance market information for stakeholders and build capacity for regulatory roles aligned with EU CAP. Component 3) will focus on project management.</w:t>
      </w:r>
    </w:p>
    <w:p w14:paraId="4C3AC42C" w14:textId="123AE84D"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While SCAP has introduced a range of instruments aimed at improving access to finance, strengthening advisory support, and enhancing market linkages, further analytical insight is required to better understand how agricultural producers make operational and investment decisions at the farm level. In particular, decision-making processes are shaped by a combination of economic conditions, access to finance, availability of information, and individual producer characteristics, including experience, risk perceptions, and production practices. These factors may vary significantly across different types of agricultural producers, particularly when considering differences in economic size of holdings.</w:t>
      </w:r>
    </w:p>
    <w:p w14:paraId="05849FC2" w14:textId="37180652"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 xml:space="preserve">In this context, there is a need to generate evidence-based insights into farm-level decision-making processes, including the identification of key drivers, constraints, and patterns that influence producer behavior. A structured analysis of these aspects will </w:t>
      </w:r>
      <w:r w:rsidRPr="00B360FF">
        <w:rPr>
          <w:rFonts w:eastAsia="Arial"/>
          <w:sz w:val="24"/>
          <w:szCs w:val="24"/>
        </w:rPr>
        <w:lastRenderedPageBreak/>
        <w:t>contribute to a better understanding of how agricultural producers utilize available support mechanisms, respond to financial and market incentives, and plan investments. The findings of this assignment will support the further refinement of agricultural support measures, financial instruments, and advisory services, with the aim of enhancing their relevance and effectiveness across different farm segments.</w:t>
      </w:r>
    </w:p>
    <w:p w14:paraId="4BF18BCD" w14:textId="77777777" w:rsidR="00803213" w:rsidRPr="00B360FF" w:rsidRDefault="00803213" w:rsidP="00803213">
      <w:pPr>
        <w:widowControl/>
        <w:autoSpaceDE/>
        <w:autoSpaceDN/>
        <w:spacing w:before="240" w:after="120"/>
        <w:outlineLvl w:val="1"/>
        <w:rPr>
          <w:rFonts w:eastAsia="Arial"/>
          <w:b/>
          <w:bCs/>
          <w:color w:val="000000"/>
          <w:sz w:val="24"/>
          <w:szCs w:val="24"/>
        </w:rPr>
      </w:pPr>
      <w:r w:rsidRPr="00B360FF">
        <w:rPr>
          <w:rFonts w:eastAsia="Arial"/>
          <w:b/>
          <w:bCs/>
          <w:color w:val="000000"/>
          <w:sz w:val="24"/>
          <w:szCs w:val="24"/>
        </w:rPr>
        <w:t>2. Objective of the Assignment</w:t>
      </w:r>
    </w:p>
    <w:p w14:paraId="0C8D0567" w14:textId="77777777" w:rsidR="00803213" w:rsidRPr="00B360FF" w:rsidRDefault="00803213" w:rsidP="00803213">
      <w:pPr>
        <w:widowControl/>
        <w:autoSpaceDE/>
        <w:autoSpaceDN/>
        <w:spacing w:before="200" w:after="80"/>
        <w:outlineLvl w:val="2"/>
        <w:rPr>
          <w:rFonts w:eastAsia="Arial"/>
          <w:b/>
          <w:bCs/>
          <w:color w:val="000000"/>
          <w:sz w:val="24"/>
          <w:szCs w:val="24"/>
        </w:rPr>
      </w:pPr>
      <w:r w:rsidRPr="00B360FF">
        <w:rPr>
          <w:rFonts w:eastAsia="Arial"/>
          <w:b/>
          <w:bCs/>
          <w:color w:val="000000"/>
          <w:sz w:val="24"/>
          <w:szCs w:val="24"/>
        </w:rPr>
        <w:t>2.1. General Objective</w:t>
      </w:r>
    </w:p>
    <w:p w14:paraId="1914F04D" w14:textId="3CC48E2F"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objective of this assignment is to provide a structured and evidence-based analysis of how agricultural producers in Serbia make operational and investment decisions at the farm level, and how these decisions are influenced by economic conditions, access to information, financial incentives, and producer-specific characteristics.</w:t>
      </w:r>
    </w:p>
    <w:p w14:paraId="53537012" w14:textId="3243B8BC"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assignment will generate analytical insights into decision-making patterns across different types of agricultural producers, with a particular focus on variations by economic size of holdings. By combining quantitative and qualitative research methods, the analysis will examine how producers allocate resources, plan investments, and respond to financial, market, and policy incentives.</w:t>
      </w:r>
    </w:p>
    <w:p w14:paraId="42FF41EC" w14:textId="655D3A71"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findings of this assignment will support the further development and refinement of agricultural support measures, financial instruments, and advisory services within the framework of the SCAP project and broader agricultural policy, with the aim of enhancing their effectiveness, targeting, and alignment with the needs of different farm segments.</w:t>
      </w:r>
    </w:p>
    <w:p w14:paraId="5590DD57" w14:textId="77777777" w:rsidR="00803213" w:rsidRPr="00B360FF" w:rsidRDefault="00803213" w:rsidP="00803213">
      <w:pPr>
        <w:widowControl/>
        <w:autoSpaceDE/>
        <w:autoSpaceDN/>
        <w:spacing w:before="200" w:after="80"/>
        <w:outlineLvl w:val="2"/>
        <w:rPr>
          <w:rFonts w:eastAsia="Arial"/>
          <w:b/>
          <w:bCs/>
          <w:color w:val="000000"/>
          <w:sz w:val="24"/>
          <w:szCs w:val="24"/>
        </w:rPr>
      </w:pPr>
      <w:r w:rsidRPr="00B360FF">
        <w:rPr>
          <w:rFonts w:eastAsia="Arial"/>
          <w:b/>
          <w:bCs/>
          <w:color w:val="000000"/>
          <w:sz w:val="24"/>
          <w:szCs w:val="24"/>
        </w:rPr>
        <w:t>2.2. Specific Objectives</w:t>
      </w:r>
    </w:p>
    <w:p w14:paraId="31882DF2" w14:textId="77777777"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assignment will focus on the following specific objectives:</w:t>
      </w:r>
    </w:p>
    <w:p w14:paraId="50576080" w14:textId="77777777" w:rsidR="00803213" w:rsidRPr="00B360FF" w:rsidRDefault="00803213" w:rsidP="00803213">
      <w:pPr>
        <w:widowControl/>
        <w:numPr>
          <w:ilvl w:val="0"/>
          <w:numId w:val="7"/>
        </w:numPr>
        <w:autoSpaceDE/>
        <w:autoSpaceDN/>
        <w:spacing w:after="80"/>
        <w:jc w:val="both"/>
        <w:rPr>
          <w:rFonts w:eastAsia="Arial"/>
          <w:sz w:val="24"/>
          <w:szCs w:val="24"/>
        </w:rPr>
      </w:pPr>
      <w:r w:rsidRPr="00B360FF">
        <w:rPr>
          <w:rFonts w:eastAsia="Arial"/>
          <w:sz w:val="24"/>
          <w:szCs w:val="24"/>
        </w:rPr>
        <w:lastRenderedPageBreak/>
        <w:t>To analyze farm-level decision-making processes, including how agricultural producers plan and implement operational and investment decisions, such as timing, scale, and allocation of resources.</w:t>
      </w:r>
    </w:p>
    <w:p w14:paraId="431DE232" w14:textId="77777777" w:rsidR="00803213" w:rsidRPr="00B360FF" w:rsidRDefault="00803213" w:rsidP="00803213">
      <w:pPr>
        <w:widowControl/>
        <w:numPr>
          <w:ilvl w:val="0"/>
          <w:numId w:val="7"/>
        </w:numPr>
        <w:autoSpaceDE/>
        <w:autoSpaceDN/>
        <w:spacing w:after="80"/>
        <w:jc w:val="both"/>
        <w:rPr>
          <w:rFonts w:eastAsia="Arial"/>
          <w:sz w:val="24"/>
          <w:szCs w:val="24"/>
        </w:rPr>
      </w:pPr>
      <w:r w:rsidRPr="00B360FF">
        <w:rPr>
          <w:rFonts w:eastAsia="Arial"/>
          <w:sz w:val="24"/>
          <w:szCs w:val="24"/>
        </w:rPr>
        <w:t>To identify key factors influencing decision-making, including economic and financial conditions, access to finance and subsidies, market signals, risk perceptions, and behavioral and experiential factors.</w:t>
      </w:r>
    </w:p>
    <w:p w14:paraId="6C7B6DE1" w14:textId="77777777" w:rsidR="00803213" w:rsidRPr="00B360FF" w:rsidRDefault="00803213" w:rsidP="00803213">
      <w:pPr>
        <w:widowControl/>
        <w:numPr>
          <w:ilvl w:val="0"/>
          <w:numId w:val="7"/>
        </w:numPr>
        <w:autoSpaceDE/>
        <w:autoSpaceDN/>
        <w:spacing w:after="80"/>
        <w:jc w:val="both"/>
        <w:rPr>
          <w:rFonts w:eastAsia="Arial"/>
          <w:sz w:val="24"/>
          <w:szCs w:val="24"/>
        </w:rPr>
      </w:pPr>
      <w:r w:rsidRPr="00B360FF">
        <w:rPr>
          <w:rFonts w:eastAsia="Arial"/>
          <w:sz w:val="24"/>
          <w:szCs w:val="24"/>
        </w:rPr>
        <w:t>To assess the use of information in decision-making, including the types of information sources utilized by producers (e.g. market data, advisory services, peer networks, buyers, financial institutions), as well as their accessibility, reliability, and perceived relevance.</w:t>
      </w:r>
    </w:p>
    <w:p w14:paraId="56334926" w14:textId="77777777" w:rsidR="00803213" w:rsidRPr="00B360FF" w:rsidRDefault="00803213" w:rsidP="00803213">
      <w:pPr>
        <w:widowControl/>
        <w:numPr>
          <w:ilvl w:val="0"/>
          <w:numId w:val="7"/>
        </w:numPr>
        <w:autoSpaceDE/>
        <w:autoSpaceDN/>
        <w:spacing w:after="80"/>
        <w:jc w:val="both"/>
        <w:rPr>
          <w:rFonts w:eastAsia="Arial"/>
          <w:sz w:val="24"/>
          <w:szCs w:val="24"/>
        </w:rPr>
      </w:pPr>
      <w:r w:rsidRPr="00B360FF">
        <w:rPr>
          <w:rFonts w:eastAsia="Arial"/>
          <w:sz w:val="24"/>
          <w:szCs w:val="24"/>
        </w:rPr>
        <w:t>To identify key constraints and barriers affecting decision-making, including financial limitations, access to knowledge and advisory support, market access constraints, and institutional or structural factors.</w:t>
      </w:r>
    </w:p>
    <w:p w14:paraId="088A0CC0" w14:textId="77777777" w:rsidR="00803213" w:rsidRPr="00B360FF" w:rsidRDefault="00803213" w:rsidP="00803213">
      <w:pPr>
        <w:widowControl/>
        <w:numPr>
          <w:ilvl w:val="0"/>
          <w:numId w:val="7"/>
        </w:numPr>
        <w:autoSpaceDE/>
        <w:autoSpaceDN/>
        <w:spacing w:after="80"/>
        <w:jc w:val="both"/>
        <w:rPr>
          <w:rFonts w:eastAsia="Arial"/>
          <w:sz w:val="24"/>
          <w:szCs w:val="24"/>
        </w:rPr>
      </w:pPr>
      <w:r w:rsidRPr="00B360FF">
        <w:rPr>
          <w:rFonts w:eastAsia="Arial"/>
          <w:sz w:val="24"/>
          <w:szCs w:val="24"/>
        </w:rPr>
        <w:t>To analyze differences in decision-making patterns across farm types, with a particular focus on segmentation by economic size of holdings (small, medium, and larger producers).</w:t>
      </w:r>
    </w:p>
    <w:p w14:paraId="3317E257" w14:textId="77777777" w:rsidR="00803213" w:rsidRPr="00B360FF" w:rsidRDefault="00803213" w:rsidP="00803213">
      <w:pPr>
        <w:widowControl/>
        <w:numPr>
          <w:ilvl w:val="0"/>
          <w:numId w:val="7"/>
        </w:numPr>
        <w:autoSpaceDE/>
        <w:autoSpaceDN/>
        <w:spacing w:after="80"/>
        <w:jc w:val="both"/>
        <w:rPr>
          <w:rFonts w:eastAsia="Arial"/>
          <w:sz w:val="24"/>
          <w:szCs w:val="24"/>
        </w:rPr>
      </w:pPr>
      <w:r w:rsidRPr="00B360FF">
        <w:rPr>
          <w:rFonts w:eastAsia="Arial"/>
          <w:sz w:val="24"/>
          <w:szCs w:val="24"/>
        </w:rPr>
        <w:t>To examine investment behavior of agricultural producers, including criteria for investment selection, use of external financing, the role of grants and subsidies, and approaches to risk management.</w:t>
      </w:r>
    </w:p>
    <w:p w14:paraId="3652ED1C" w14:textId="77777777" w:rsidR="00803213" w:rsidRPr="00B360FF" w:rsidRDefault="00803213" w:rsidP="00803213">
      <w:pPr>
        <w:widowControl/>
        <w:numPr>
          <w:ilvl w:val="0"/>
          <w:numId w:val="7"/>
        </w:numPr>
        <w:autoSpaceDE/>
        <w:autoSpaceDN/>
        <w:spacing w:after="80"/>
        <w:jc w:val="both"/>
        <w:rPr>
          <w:rFonts w:eastAsia="Arial"/>
          <w:sz w:val="24"/>
          <w:szCs w:val="24"/>
        </w:rPr>
      </w:pPr>
      <w:r w:rsidRPr="00B360FF">
        <w:rPr>
          <w:rFonts w:eastAsia="Arial"/>
          <w:sz w:val="24"/>
          <w:szCs w:val="24"/>
        </w:rPr>
        <w:t>To identify and characterize distinct decision-making profiles among agricultural producers, reflecting differences in behavior, use of information, planning horizons, and investment strategies.</w:t>
      </w:r>
    </w:p>
    <w:p w14:paraId="265F2C48" w14:textId="77777777" w:rsidR="00803213" w:rsidRDefault="00803213" w:rsidP="00803213">
      <w:pPr>
        <w:widowControl/>
        <w:numPr>
          <w:ilvl w:val="0"/>
          <w:numId w:val="7"/>
        </w:numPr>
        <w:autoSpaceDE/>
        <w:autoSpaceDN/>
        <w:spacing w:after="80"/>
        <w:jc w:val="both"/>
        <w:rPr>
          <w:rFonts w:eastAsia="Arial"/>
          <w:sz w:val="24"/>
          <w:szCs w:val="24"/>
        </w:rPr>
      </w:pPr>
      <w:r w:rsidRPr="00B360FF">
        <w:rPr>
          <w:rFonts w:eastAsia="Arial"/>
          <w:sz w:val="24"/>
          <w:szCs w:val="24"/>
        </w:rPr>
        <w:t>To develop policy-relevant insights and recommendations, aimed at improving the design, targeting, and effectiveness of agricultural support measures, financial instruments, and advisory services.</w:t>
      </w:r>
    </w:p>
    <w:p w14:paraId="5056B054" w14:textId="77777777" w:rsidR="00803213" w:rsidRPr="00B360FF" w:rsidRDefault="00803213" w:rsidP="00803213">
      <w:pPr>
        <w:widowControl/>
        <w:autoSpaceDE/>
        <w:autoSpaceDN/>
        <w:spacing w:before="240" w:after="120"/>
        <w:outlineLvl w:val="1"/>
        <w:rPr>
          <w:rFonts w:eastAsia="Arial"/>
          <w:b/>
          <w:bCs/>
          <w:color w:val="000000"/>
          <w:sz w:val="24"/>
          <w:szCs w:val="24"/>
        </w:rPr>
      </w:pPr>
      <w:r w:rsidRPr="00B360FF">
        <w:rPr>
          <w:rFonts w:eastAsia="Arial"/>
          <w:b/>
          <w:bCs/>
          <w:color w:val="000000"/>
          <w:sz w:val="24"/>
          <w:szCs w:val="24"/>
        </w:rPr>
        <w:t>3. Scope of Services</w:t>
      </w:r>
    </w:p>
    <w:p w14:paraId="28B755F1" w14:textId="4FCB2D09"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lastRenderedPageBreak/>
        <w:t>The Consultant will be responsible for conducting a comprehensive, data-driven analysis of farm-level decision-making processes among agricultural producers in Serbia. The assignment will combine quantitative and qualitative research methods to generate evidence on how producers make operational and investment decisions, what factors influence these decisions, and how decision-making patterns vary across different types of farms, particularly by economic size of holdings.</w:t>
      </w:r>
    </w:p>
    <w:p w14:paraId="1C68C6B6" w14:textId="4E2D352F"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analysis will be based on primary data collection (surveys, interviews, and/or focus groups), as well as relevant secondary data sources, and will aim to generate actionable insights to inform the design and targeting of agricultural support measures, financial instruments, and advisory services within the SCAP framework.</w:t>
      </w:r>
    </w:p>
    <w:p w14:paraId="7A9BE485" w14:textId="77777777"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scope of services includes the following tasks:</w:t>
      </w:r>
    </w:p>
    <w:p w14:paraId="499AA931" w14:textId="77777777" w:rsidR="00803213" w:rsidRPr="00B360FF" w:rsidRDefault="00803213" w:rsidP="00803213">
      <w:pPr>
        <w:widowControl/>
        <w:autoSpaceDE/>
        <w:autoSpaceDN/>
        <w:spacing w:before="200" w:after="80"/>
        <w:jc w:val="both"/>
        <w:outlineLvl w:val="2"/>
        <w:rPr>
          <w:rFonts w:eastAsia="Arial"/>
          <w:b/>
          <w:bCs/>
          <w:color w:val="000000"/>
          <w:sz w:val="24"/>
          <w:szCs w:val="24"/>
        </w:rPr>
      </w:pPr>
      <w:r w:rsidRPr="00B360FF">
        <w:rPr>
          <w:rFonts w:eastAsia="Arial"/>
          <w:b/>
          <w:bCs/>
          <w:color w:val="000000"/>
          <w:sz w:val="24"/>
          <w:szCs w:val="24"/>
        </w:rPr>
        <w:t>1. Review of Existing Data and Analytical Framework Development</w:t>
      </w:r>
    </w:p>
    <w:p w14:paraId="4D59A5C6" w14:textId="77777777" w:rsidR="00803213" w:rsidRPr="00B360FF" w:rsidRDefault="00803213" w:rsidP="00803213">
      <w:pPr>
        <w:widowControl/>
        <w:numPr>
          <w:ilvl w:val="0"/>
          <w:numId w:val="1"/>
        </w:numPr>
        <w:autoSpaceDE/>
        <w:autoSpaceDN/>
        <w:spacing w:after="80"/>
        <w:jc w:val="both"/>
        <w:rPr>
          <w:rFonts w:eastAsia="Arial"/>
          <w:sz w:val="24"/>
          <w:szCs w:val="24"/>
        </w:rPr>
      </w:pPr>
      <w:r w:rsidRPr="00B360FF">
        <w:rPr>
          <w:rFonts w:eastAsia="Arial"/>
          <w:sz w:val="24"/>
          <w:szCs w:val="24"/>
        </w:rPr>
        <w:t>Review relevant project documentation, analytical reports, and available statistical data related to agricultural production, farm structure, and investment behavior.</w:t>
      </w:r>
    </w:p>
    <w:p w14:paraId="03398921" w14:textId="77777777" w:rsidR="00803213" w:rsidRPr="00B360FF" w:rsidRDefault="00803213" w:rsidP="00803213">
      <w:pPr>
        <w:widowControl/>
        <w:numPr>
          <w:ilvl w:val="0"/>
          <w:numId w:val="1"/>
        </w:numPr>
        <w:autoSpaceDE/>
        <w:autoSpaceDN/>
        <w:spacing w:after="80"/>
        <w:jc w:val="both"/>
        <w:rPr>
          <w:rFonts w:eastAsia="Arial"/>
          <w:sz w:val="24"/>
          <w:szCs w:val="24"/>
        </w:rPr>
      </w:pPr>
      <w:r w:rsidRPr="00B360FF">
        <w:rPr>
          <w:rFonts w:eastAsia="Arial"/>
          <w:sz w:val="24"/>
          <w:szCs w:val="24"/>
        </w:rPr>
        <w:t>Identify key analytical questions and knowledge gaps related to farm-level decision-making.</w:t>
      </w:r>
    </w:p>
    <w:p w14:paraId="514E758D" w14:textId="77777777" w:rsidR="00803213" w:rsidRPr="00B360FF" w:rsidRDefault="00803213" w:rsidP="00803213">
      <w:pPr>
        <w:widowControl/>
        <w:numPr>
          <w:ilvl w:val="0"/>
          <w:numId w:val="1"/>
        </w:numPr>
        <w:autoSpaceDE/>
        <w:autoSpaceDN/>
        <w:spacing w:after="80"/>
        <w:jc w:val="both"/>
        <w:rPr>
          <w:rFonts w:eastAsia="Arial"/>
          <w:sz w:val="24"/>
          <w:szCs w:val="24"/>
        </w:rPr>
      </w:pPr>
      <w:r w:rsidRPr="00B360FF">
        <w:rPr>
          <w:rFonts w:eastAsia="Arial"/>
          <w:sz w:val="24"/>
          <w:szCs w:val="24"/>
        </w:rPr>
        <w:t>Develop an analytical framework linking decision-making processes with key influencing factors (economic, financial, behavioral, and structural).</w:t>
      </w:r>
    </w:p>
    <w:p w14:paraId="4A0095C4" w14:textId="77777777" w:rsidR="00803213" w:rsidRPr="00B360FF" w:rsidRDefault="00803213" w:rsidP="00803213">
      <w:pPr>
        <w:widowControl/>
        <w:numPr>
          <w:ilvl w:val="0"/>
          <w:numId w:val="1"/>
        </w:numPr>
        <w:autoSpaceDE/>
        <w:autoSpaceDN/>
        <w:spacing w:after="80"/>
        <w:jc w:val="both"/>
        <w:rPr>
          <w:rFonts w:eastAsia="Arial"/>
          <w:sz w:val="24"/>
          <w:szCs w:val="24"/>
        </w:rPr>
      </w:pPr>
      <w:r w:rsidRPr="00B360FF">
        <w:rPr>
          <w:rFonts w:eastAsia="Arial"/>
          <w:sz w:val="24"/>
          <w:szCs w:val="24"/>
        </w:rPr>
        <w:t>Propose a segmentation approach for agricultural producers, with a focus on classification by economic size of holdings.</w:t>
      </w:r>
    </w:p>
    <w:p w14:paraId="137E4E22" w14:textId="77777777" w:rsidR="00803213" w:rsidRPr="00B360FF" w:rsidRDefault="00803213" w:rsidP="00803213">
      <w:pPr>
        <w:widowControl/>
        <w:autoSpaceDE/>
        <w:autoSpaceDN/>
        <w:spacing w:before="200" w:after="80"/>
        <w:jc w:val="both"/>
        <w:outlineLvl w:val="2"/>
        <w:rPr>
          <w:rFonts w:eastAsia="Arial"/>
          <w:b/>
          <w:bCs/>
          <w:color w:val="000000"/>
          <w:sz w:val="24"/>
          <w:szCs w:val="24"/>
        </w:rPr>
      </w:pPr>
      <w:r w:rsidRPr="00B360FF">
        <w:rPr>
          <w:rFonts w:eastAsia="Arial"/>
          <w:b/>
          <w:bCs/>
          <w:color w:val="000000"/>
          <w:sz w:val="24"/>
          <w:szCs w:val="24"/>
        </w:rPr>
        <w:t>2. Research Design and Methodology</w:t>
      </w:r>
    </w:p>
    <w:p w14:paraId="6F881E3A" w14:textId="77777777" w:rsidR="00803213" w:rsidRPr="00B360FF" w:rsidRDefault="00803213" w:rsidP="00803213">
      <w:pPr>
        <w:widowControl/>
        <w:numPr>
          <w:ilvl w:val="0"/>
          <w:numId w:val="2"/>
        </w:numPr>
        <w:autoSpaceDE/>
        <w:autoSpaceDN/>
        <w:spacing w:after="80"/>
        <w:jc w:val="both"/>
        <w:rPr>
          <w:rFonts w:eastAsia="Arial"/>
          <w:sz w:val="24"/>
          <w:szCs w:val="24"/>
        </w:rPr>
      </w:pPr>
      <w:r w:rsidRPr="00B360FF">
        <w:rPr>
          <w:rFonts w:eastAsia="Arial"/>
          <w:sz w:val="24"/>
          <w:szCs w:val="24"/>
        </w:rPr>
        <w:t>Develop a comprehensive research methodology combining quantitative and qualitative approaches.</w:t>
      </w:r>
    </w:p>
    <w:p w14:paraId="53FC99E5" w14:textId="77777777" w:rsidR="00803213" w:rsidRPr="00B360FF" w:rsidRDefault="00803213" w:rsidP="00803213">
      <w:pPr>
        <w:widowControl/>
        <w:numPr>
          <w:ilvl w:val="0"/>
          <w:numId w:val="2"/>
        </w:numPr>
        <w:autoSpaceDE/>
        <w:autoSpaceDN/>
        <w:spacing w:after="80"/>
        <w:jc w:val="both"/>
        <w:rPr>
          <w:rFonts w:eastAsia="Arial"/>
          <w:sz w:val="24"/>
          <w:szCs w:val="24"/>
        </w:rPr>
      </w:pPr>
      <w:r w:rsidRPr="00B360FF">
        <w:rPr>
          <w:rFonts w:eastAsia="Arial"/>
          <w:sz w:val="24"/>
          <w:szCs w:val="24"/>
        </w:rPr>
        <w:lastRenderedPageBreak/>
        <w:t>Design appropriate data collection tools (e.g. surveys, interview guides, focus group protocols).</w:t>
      </w:r>
    </w:p>
    <w:p w14:paraId="1CA8C5BA" w14:textId="77777777" w:rsidR="00803213" w:rsidRPr="00B360FF" w:rsidRDefault="00803213" w:rsidP="00803213">
      <w:pPr>
        <w:widowControl/>
        <w:numPr>
          <w:ilvl w:val="0"/>
          <w:numId w:val="2"/>
        </w:numPr>
        <w:autoSpaceDE/>
        <w:autoSpaceDN/>
        <w:spacing w:after="80"/>
        <w:jc w:val="both"/>
        <w:rPr>
          <w:rFonts w:eastAsia="Arial"/>
          <w:sz w:val="24"/>
          <w:szCs w:val="24"/>
        </w:rPr>
      </w:pPr>
      <w:r w:rsidRPr="00B360FF">
        <w:rPr>
          <w:rFonts w:eastAsia="Arial"/>
          <w:sz w:val="24"/>
          <w:szCs w:val="24"/>
        </w:rPr>
        <w:t>Define a sampling strategy ensuring adequate representation across farm sizes, regions, and agricultural subsectors.</w:t>
      </w:r>
    </w:p>
    <w:p w14:paraId="11B63AC1" w14:textId="77777777" w:rsidR="00803213" w:rsidRPr="00B360FF" w:rsidRDefault="00803213" w:rsidP="00803213">
      <w:pPr>
        <w:widowControl/>
        <w:numPr>
          <w:ilvl w:val="0"/>
          <w:numId w:val="2"/>
        </w:numPr>
        <w:autoSpaceDE/>
        <w:autoSpaceDN/>
        <w:spacing w:after="80"/>
        <w:jc w:val="both"/>
        <w:rPr>
          <w:rFonts w:eastAsia="Arial"/>
          <w:sz w:val="24"/>
          <w:szCs w:val="24"/>
        </w:rPr>
      </w:pPr>
      <w:r w:rsidRPr="00B360FF">
        <w:rPr>
          <w:rFonts w:eastAsia="Arial"/>
          <w:sz w:val="24"/>
          <w:szCs w:val="24"/>
        </w:rPr>
        <w:t>Establish data collection procedures and quality assurance mechanisms.</w:t>
      </w:r>
    </w:p>
    <w:p w14:paraId="16F8AAD9" w14:textId="77777777" w:rsidR="00803213" w:rsidRPr="00B360FF" w:rsidRDefault="00803213" w:rsidP="00803213">
      <w:pPr>
        <w:widowControl/>
        <w:autoSpaceDE/>
        <w:autoSpaceDN/>
        <w:spacing w:before="200" w:after="80"/>
        <w:jc w:val="both"/>
        <w:outlineLvl w:val="2"/>
        <w:rPr>
          <w:rFonts w:eastAsia="Arial"/>
          <w:b/>
          <w:bCs/>
          <w:color w:val="000000"/>
          <w:sz w:val="24"/>
          <w:szCs w:val="24"/>
        </w:rPr>
      </w:pPr>
      <w:r w:rsidRPr="00B360FF">
        <w:rPr>
          <w:rFonts w:eastAsia="Arial"/>
          <w:b/>
          <w:bCs/>
          <w:color w:val="000000"/>
          <w:sz w:val="24"/>
          <w:szCs w:val="24"/>
        </w:rPr>
        <w:t>3. Data Collection and Analysis</w:t>
      </w:r>
    </w:p>
    <w:p w14:paraId="5CBF0B2A" w14:textId="77777777" w:rsidR="00803213" w:rsidRPr="00B360FF" w:rsidRDefault="00803213" w:rsidP="00803213">
      <w:pPr>
        <w:widowControl/>
        <w:numPr>
          <w:ilvl w:val="0"/>
          <w:numId w:val="3"/>
        </w:numPr>
        <w:autoSpaceDE/>
        <w:autoSpaceDN/>
        <w:spacing w:after="80"/>
        <w:jc w:val="both"/>
        <w:rPr>
          <w:rFonts w:eastAsia="Arial"/>
          <w:sz w:val="24"/>
          <w:szCs w:val="24"/>
        </w:rPr>
      </w:pPr>
      <w:r w:rsidRPr="00B360FF">
        <w:rPr>
          <w:rFonts w:eastAsia="Arial"/>
          <w:sz w:val="24"/>
          <w:szCs w:val="24"/>
        </w:rPr>
        <w:t>Conduct primary data collection using an appropriate combination of quantitative and qualitative methods.</w:t>
      </w:r>
    </w:p>
    <w:p w14:paraId="281C3D46" w14:textId="77777777" w:rsidR="00803213" w:rsidRPr="00B360FF" w:rsidRDefault="00803213" w:rsidP="00803213">
      <w:pPr>
        <w:widowControl/>
        <w:numPr>
          <w:ilvl w:val="0"/>
          <w:numId w:val="3"/>
        </w:numPr>
        <w:autoSpaceDE/>
        <w:autoSpaceDN/>
        <w:spacing w:after="80"/>
        <w:jc w:val="both"/>
        <w:rPr>
          <w:rFonts w:eastAsia="Arial"/>
          <w:sz w:val="24"/>
          <w:szCs w:val="24"/>
        </w:rPr>
      </w:pPr>
      <w:r w:rsidRPr="00B360FF">
        <w:rPr>
          <w:rFonts w:eastAsia="Arial"/>
          <w:sz w:val="24"/>
          <w:szCs w:val="24"/>
        </w:rPr>
        <w:t>Analyze collected data to identify patterns in decision-making behavior and relationships between farm characteristics (including size) and decision-making outcomes.</w:t>
      </w:r>
    </w:p>
    <w:p w14:paraId="5E67794D" w14:textId="77777777" w:rsidR="00803213" w:rsidRPr="00B360FF" w:rsidRDefault="00803213" w:rsidP="00803213">
      <w:pPr>
        <w:widowControl/>
        <w:numPr>
          <w:ilvl w:val="0"/>
          <w:numId w:val="3"/>
        </w:numPr>
        <w:autoSpaceDE/>
        <w:autoSpaceDN/>
        <w:spacing w:after="80"/>
        <w:jc w:val="both"/>
        <w:rPr>
          <w:rFonts w:eastAsia="Arial"/>
          <w:sz w:val="24"/>
          <w:szCs w:val="24"/>
        </w:rPr>
      </w:pPr>
      <w:r w:rsidRPr="00B360FF">
        <w:rPr>
          <w:rFonts w:eastAsia="Arial"/>
          <w:sz w:val="24"/>
          <w:szCs w:val="24"/>
        </w:rPr>
        <w:t>Assess key drivers and constraints influencing decision-making, including economic conditions, access to finance, market signals, and the role of information.</w:t>
      </w:r>
    </w:p>
    <w:p w14:paraId="42A554C4" w14:textId="77777777" w:rsidR="00803213" w:rsidRPr="00B360FF" w:rsidRDefault="00803213" w:rsidP="00803213">
      <w:pPr>
        <w:widowControl/>
        <w:autoSpaceDE/>
        <w:autoSpaceDN/>
        <w:spacing w:before="200" w:after="80"/>
        <w:jc w:val="both"/>
        <w:outlineLvl w:val="2"/>
        <w:rPr>
          <w:rFonts w:eastAsia="Arial"/>
          <w:b/>
          <w:bCs/>
          <w:color w:val="000000"/>
          <w:sz w:val="24"/>
          <w:szCs w:val="24"/>
        </w:rPr>
      </w:pPr>
      <w:r w:rsidRPr="00B360FF">
        <w:rPr>
          <w:rFonts w:eastAsia="Arial"/>
          <w:b/>
          <w:bCs/>
          <w:color w:val="000000"/>
          <w:sz w:val="24"/>
          <w:szCs w:val="24"/>
        </w:rPr>
        <w:t>4. Segmentation and Behavioral Analysis</w:t>
      </w:r>
    </w:p>
    <w:p w14:paraId="5BB1BC37" w14:textId="77777777" w:rsidR="00803213" w:rsidRPr="00B360FF" w:rsidRDefault="00803213" w:rsidP="00803213">
      <w:pPr>
        <w:widowControl/>
        <w:numPr>
          <w:ilvl w:val="0"/>
          <w:numId w:val="4"/>
        </w:numPr>
        <w:autoSpaceDE/>
        <w:autoSpaceDN/>
        <w:spacing w:after="80"/>
        <w:jc w:val="both"/>
        <w:rPr>
          <w:rFonts w:eastAsia="Arial"/>
          <w:sz w:val="24"/>
          <w:szCs w:val="24"/>
        </w:rPr>
      </w:pPr>
      <w:r w:rsidRPr="00B360FF">
        <w:rPr>
          <w:rFonts w:eastAsia="Arial"/>
          <w:sz w:val="24"/>
          <w:szCs w:val="24"/>
        </w:rPr>
        <w:t>Analyze differences in decision-making patterns across different types of agricultural producers, with a particular focus on segmentation by economic size of holdings.</w:t>
      </w:r>
    </w:p>
    <w:p w14:paraId="4C8E8217" w14:textId="77777777" w:rsidR="00803213" w:rsidRPr="00B360FF" w:rsidRDefault="00803213" w:rsidP="00803213">
      <w:pPr>
        <w:widowControl/>
        <w:numPr>
          <w:ilvl w:val="0"/>
          <w:numId w:val="4"/>
        </w:numPr>
        <w:autoSpaceDE/>
        <w:autoSpaceDN/>
        <w:spacing w:after="80"/>
        <w:jc w:val="both"/>
        <w:rPr>
          <w:rFonts w:eastAsia="Arial"/>
          <w:sz w:val="24"/>
          <w:szCs w:val="24"/>
        </w:rPr>
      </w:pPr>
      <w:r w:rsidRPr="00B360FF">
        <w:rPr>
          <w:rFonts w:eastAsia="Arial"/>
          <w:sz w:val="24"/>
          <w:szCs w:val="24"/>
        </w:rPr>
        <w:t>Identify key behavioral patterns, investment approaches, and constraints across producer groups.</w:t>
      </w:r>
    </w:p>
    <w:p w14:paraId="12218CB7" w14:textId="77777777" w:rsidR="00803213" w:rsidRPr="00B360FF" w:rsidRDefault="00803213" w:rsidP="00803213">
      <w:pPr>
        <w:widowControl/>
        <w:numPr>
          <w:ilvl w:val="0"/>
          <w:numId w:val="4"/>
        </w:numPr>
        <w:autoSpaceDE/>
        <w:autoSpaceDN/>
        <w:spacing w:after="80"/>
        <w:jc w:val="both"/>
        <w:rPr>
          <w:rFonts w:eastAsia="Arial"/>
          <w:sz w:val="24"/>
          <w:szCs w:val="24"/>
        </w:rPr>
      </w:pPr>
      <w:r w:rsidRPr="00B360FF">
        <w:rPr>
          <w:rFonts w:eastAsia="Arial"/>
          <w:sz w:val="24"/>
          <w:szCs w:val="24"/>
        </w:rPr>
        <w:t>Develop and characterize a typology of decision-making profiles among agricultural producers.</w:t>
      </w:r>
    </w:p>
    <w:p w14:paraId="2C201296" w14:textId="77777777" w:rsidR="00803213" w:rsidRPr="00B360FF" w:rsidRDefault="00803213" w:rsidP="00803213">
      <w:pPr>
        <w:widowControl/>
        <w:autoSpaceDE/>
        <w:autoSpaceDN/>
        <w:spacing w:before="200" w:after="80"/>
        <w:jc w:val="both"/>
        <w:outlineLvl w:val="2"/>
        <w:rPr>
          <w:rFonts w:eastAsia="Arial"/>
          <w:b/>
          <w:bCs/>
          <w:color w:val="000000"/>
          <w:sz w:val="24"/>
          <w:szCs w:val="24"/>
        </w:rPr>
      </w:pPr>
      <w:r w:rsidRPr="00B360FF">
        <w:rPr>
          <w:rFonts w:eastAsia="Arial"/>
          <w:b/>
          <w:bCs/>
          <w:color w:val="000000"/>
          <w:sz w:val="24"/>
          <w:szCs w:val="24"/>
        </w:rPr>
        <w:t>5. Synthesis of Findings and Policy-Relevant Insights</w:t>
      </w:r>
    </w:p>
    <w:p w14:paraId="6575D09E" w14:textId="77777777" w:rsidR="00803213" w:rsidRPr="00B360FF" w:rsidRDefault="00803213" w:rsidP="00803213">
      <w:pPr>
        <w:widowControl/>
        <w:numPr>
          <w:ilvl w:val="0"/>
          <w:numId w:val="5"/>
        </w:numPr>
        <w:autoSpaceDE/>
        <w:autoSpaceDN/>
        <w:spacing w:after="80"/>
        <w:jc w:val="both"/>
        <w:rPr>
          <w:rFonts w:eastAsia="Arial"/>
          <w:sz w:val="24"/>
          <w:szCs w:val="24"/>
        </w:rPr>
      </w:pPr>
      <w:r w:rsidRPr="00B360FF">
        <w:rPr>
          <w:rFonts w:eastAsia="Arial"/>
          <w:sz w:val="24"/>
          <w:szCs w:val="24"/>
        </w:rPr>
        <w:t>Synthesize quantitative and qualitative findings into a coherent analysis of farm-level decision-making processes.</w:t>
      </w:r>
    </w:p>
    <w:p w14:paraId="73D12C37" w14:textId="77777777" w:rsidR="00803213" w:rsidRPr="00B360FF" w:rsidRDefault="00803213" w:rsidP="00803213">
      <w:pPr>
        <w:widowControl/>
        <w:numPr>
          <w:ilvl w:val="0"/>
          <w:numId w:val="5"/>
        </w:numPr>
        <w:autoSpaceDE/>
        <w:autoSpaceDN/>
        <w:spacing w:after="80"/>
        <w:jc w:val="both"/>
        <w:rPr>
          <w:rFonts w:eastAsia="Arial"/>
          <w:sz w:val="24"/>
          <w:szCs w:val="24"/>
        </w:rPr>
      </w:pPr>
      <w:r w:rsidRPr="00B360FF">
        <w:rPr>
          <w:rFonts w:eastAsia="Arial"/>
          <w:sz w:val="24"/>
          <w:szCs w:val="24"/>
        </w:rPr>
        <w:lastRenderedPageBreak/>
        <w:t>Identify key trends, patterns, and divergences across different types of producers.</w:t>
      </w:r>
    </w:p>
    <w:p w14:paraId="3A9A2C9F" w14:textId="77777777" w:rsidR="00803213" w:rsidRPr="00B360FF" w:rsidRDefault="00803213" w:rsidP="00803213">
      <w:pPr>
        <w:widowControl/>
        <w:numPr>
          <w:ilvl w:val="0"/>
          <w:numId w:val="5"/>
        </w:numPr>
        <w:autoSpaceDE/>
        <w:autoSpaceDN/>
        <w:spacing w:after="80"/>
        <w:jc w:val="both"/>
        <w:rPr>
          <w:rFonts w:eastAsia="Arial"/>
          <w:sz w:val="24"/>
          <w:szCs w:val="24"/>
        </w:rPr>
      </w:pPr>
      <w:r w:rsidRPr="00B360FF">
        <w:rPr>
          <w:rFonts w:eastAsia="Arial"/>
          <w:sz w:val="24"/>
          <w:szCs w:val="24"/>
        </w:rPr>
        <w:t>Develop actionable insights and recommendations to support the design, targeting, and effectiveness of agricultural support measures, financial instruments, and advisory services.</w:t>
      </w:r>
    </w:p>
    <w:p w14:paraId="47AEA64E" w14:textId="77777777" w:rsidR="00803213" w:rsidRPr="00B360FF" w:rsidRDefault="00803213" w:rsidP="00803213">
      <w:pPr>
        <w:widowControl/>
        <w:autoSpaceDE/>
        <w:autoSpaceDN/>
        <w:spacing w:before="240" w:after="120"/>
        <w:outlineLvl w:val="1"/>
        <w:rPr>
          <w:rFonts w:eastAsia="Arial"/>
          <w:b/>
          <w:bCs/>
          <w:color w:val="000000"/>
          <w:sz w:val="24"/>
          <w:szCs w:val="24"/>
        </w:rPr>
      </w:pPr>
      <w:r w:rsidRPr="00B360FF">
        <w:rPr>
          <w:rFonts w:eastAsia="Arial"/>
          <w:b/>
          <w:bCs/>
          <w:color w:val="000000"/>
          <w:sz w:val="24"/>
          <w:szCs w:val="24"/>
        </w:rPr>
        <w:t>4. Work Methodology</w:t>
      </w:r>
    </w:p>
    <w:p w14:paraId="122ED050" w14:textId="17EE896A"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 xml:space="preserve">The Consultant shall implement the assignment using a structured mixed-method approach, </w:t>
      </w:r>
      <w:r w:rsidR="00365581">
        <w:rPr>
          <w:rFonts w:eastAsia="Arial"/>
          <w:sz w:val="24"/>
          <w:szCs w:val="24"/>
        </w:rPr>
        <w:t xml:space="preserve">that </w:t>
      </w:r>
      <w:r w:rsidRPr="00B360FF">
        <w:rPr>
          <w:rFonts w:eastAsia="Arial"/>
          <w:sz w:val="24"/>
          <w:szCs w:val="24"/>
        </w:rPr>
        <w:t>combin</w:t>
      </w:r>
      <w:r w:rsidR="00365581">
        <w:rPr>
          <w:rFonts w:eastAsia="Arial"/>
          <w:sz w:val="24"/>
          <w:szCs w:val="24"/>
        </w:rPr>
        <w:t>es</w:t>
      </w:r>
      <w:r w:rsidRPr="00B360FF">
        <w:rPr>
          <w:rFonts w:eastAsia="Arial"/>
          <w:sz w:val="24"/>
          <w:szCs w:val="24"/>
        </w:rPr>
        <w:t xml:space="preserve"> quantitative and qualitative research techniques to ensure a comprehensive understanding of farm-level decision-making processes. </w:t>
      </w:r>
      <w:r w:rsidR="00365581">
        <w:rPr>
          <w:sz w:val="24"/>
          <w:szCs w:val="24"/>
        </w:rPr>
        <w:t xml:space="preserve">The Consultant may propose the detailed design, provided that it meets the minimum requirements of this </w:t>
      </w:r>
      <w:proofErr w:type="spellStart"/>
      <w:r w:rsidR="00365581">
        <w:rPr>
          <w:sz w:val="24"/>
          <w:szCs w:val="24"/>
        </w:rPr>
        <w:t>ToR</w:t>
      </w:r>
      <w:proofErr w:type="spellEnd"/>
      <w:r w:rsidR="00365581">
        <w:rPr>
          <w:sz w:val="24"/>
          <w:szCs w:val="24"/>
        </w:rPr>
        <w:t xml:space="preserve"> and is sufficient to generate robust, decision-useful findings across relevant producer segments. </w:t>
      </w:r>
      <w:r w:rsidRPr="00B360FF">
        <w:rPr>
          <w:rFonts w:eastAsia="Arial"/>
          <w:sz w:val="24"/>
          <w:szCs w:val="24"/>
        </w:rPr>
        <w:t>The methodology will be designed to capture both observable patterns and key factors, including behavioral aspects, influencing decision-making across different types of agricultural producers.</w:t>
      </w:r>
    </w:p>
    <w:p w14:paraId="28FA359A" w14:textId="77777777"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The work will be carried out in accordance with the following methodological principles and guidelines:</w:t>
      </w:r>
    </w:p>
    <w:p w14:paraId="21E712B0" w14:textId="200737A1" w:rsidR="00803213" w:rsidRPr="00CA4D05" w:rsidRDefault="00803213" w:rsidP="00D649E6">
      <w:pPr>
        <w:pStyle w:val="ListParagraph"/>
        <w:numPr>
          <w:ilvl w:val="0"/>
          <w:numId w:val="6"/>
        </w:numPr>
        <w:rPr>
          <w:rFonts w:eastAsia="Arial"/>
          <w:sz w:val="24"/>
          <w:szCs w:val="24"/>
        </w:rPr>
      </w:pPr>
      <w:r w:rsidRPr="00D649E6">
        <w:rPr>
          <w:rFonts w:eastAsia="Arial"/>
          <w:sz w:val="24"/>
          <w:szCs w:val="24"/>
        </w:rPr>
        <w:t xml:space="preserve">Evidence-Based and Contextualized Approach: The Consultant shall review available documentation, including </w:t>
      </w:r>
      <w:r w:rsidR="0066435F">
        <w:rPr>
          <w:rFonts w:eastAsia="Arial"/>
          <w:sz w:val="24"/>
          <w:szCs w:val="24"/>
        </w:rPr>
        <w:t xml:space="preserve">relevant </w:t>
      </w:r>
      <w:r w:rsidRPr="00D649E6">
        <w:rPr>
          <w:rFonts w:eastAsia="Arial"/>
          <w:sz w:val="24"/>
          <w:szCs w:val="24"/>
        </w:rPr>
        <w:t xml:space="preserve">SCAP-related materials, sector studies, statistical data, and </w:t>
      </w:r>
      <w:r w:rsidR="00D37070">
        <w:rPr>
          <w:rFonts w:eastAsia="Arial"/>
          <w:sz w:val="24"/>
          <w:szCs w:val="24"/>
        </w:rPr>
        <w:t xml:space="preserve">other </w:t>
      </w:r>
      <w:r w:rsidRPr="00D649E6">
        <w:rPr>
          <w:rFonts w:eastAsia="Arial"/>
          <w:sz w:val="24"/>
          <w:szCs w:val="24"/>
        </w:rPr>
        <w:t xml:space="preserve">relevant analytical reports, to ensure </w:t>
      </w:r>
      <w:r w:rsidR="00181C0F">
        <w:rPr>
          <w:rFonts w:eastAsia="Arial"/>
          <w:sz w:val="24"/>
          <w:szCs w:val="24"/>
        </w:rPr>
        <w:t xml:space="preserve">the assignment is </w:t>
      </w:r>
      <w:r w:rsidRPr="00D649E6">
        <w:rPr>
          <w:rFonts w:eastAsia="Arial"/>
          <w:sz w:val="24"/>
          <w:szCs w:val="24"/>
        </w:rPr>
        <w:t>align</w:t>
      </w:r>
      <w:r w:rsidR="00181C0F">
        <w:rPr>
          <w:rFonts w:eastAsia="Arial"/>
          <w:sz w:val="24"/>
          <w:szCs w:val="24"/>
        </w:rPr>
        <w:t>ed</w:t>
      </w:r>
      <w:r w:rsidRPr="00CA4D05">
        <w:rPr>
          <w:rFonts w:eastAsia="Arial"/>
          <w:sz w:val="24"/>
          <w:szCs w:val="24"/>
        </w:rPr>
        <w:t xml:space="preserve"> with the existing policy and institutional context.</w:t>
      </w:r>
    </w:p>
    <w:p w14:paraId="38C4B730" w14:textId="19242E74" w:rsidR="00803213" w:rsidRPr="00D649E6" w:rsidRDefault="00803213" w:rsidP="00D649E6">
      <w:pPr>
        <w:pStyle w:val="ListParagraph"/>
        <w:numPr>
          <w:ilvl w:val="0"/>
          <w:numId w:val="6"/>
        </w:numPr>
        <w:rPr>
          <w:rFonts w:eastAsia="Arial"/>
          <w:sz w:val="24"/>
          <w:szCs w:val="24"/>
        </w:rPr>
      </w:pPr>
      <w:r w:rsidRPr="00CA4D05">
        <w:rPr>
          <w:rFonts w:eastAsia="Arial"/>
          <w:sz w:val="24"/>
          <w:szCs w:val="24"/>
        </w:rPr>
        <w:t>Structured Analytical Framework: The analysis shall be guided by an analytical framework linking decision-making processes with key influencing factors, including economic conditions, access to finance, market signals,</w:t>
      </w:r>
      <w:r w:rsidR="00F769AD">
        <w:rPr>
          <w:rFonts w:eastAsia="Arial"/>
          <w:sz w:val="24"/>
          <w:szCs w:val="24"/>
        </w:rPr>
        <w:t xml:space="preserve"> informat</w:t>
      </w:r>
      <w:r w:rsidR="00E00169">
        <w:rPr>
          <w:rFonts w:eastAsia="Arial"/>
          <w:sz w:val="24"/>
          <w:szCs w:val="24"/>
        </w:rPr>
        <w:t>ion use,</w:t>
      </w:r>
      <w:r w:rsidRPr="00D649E6">
        <w:rPr>
          <w:rFonts w:eastAsia="Arial"/>
          <w:sz w:val="24"/>
          <w:szCs w:val="24"/>
        </w:rPr>
        <w:t xml:space="preserve"> behavioral aspects, and structural constraints. The framework shall incorporate segmentation by farm size.</w:t>
      </w:r>
    </w:p>
    <w:p w14:paraId="6DB490B0" w14:textId="25564DB6" w:rsidR="00803213" w:rsidRPr="00D649E6" w:rsidRDefault="00803213" w:rsidP="00D649E6">
      <w:pPr>
        <w:pStyle w:val="ListParagraph"/>
        <w:numPr>
          <w:ilvl w:val="0"/>
          <w:numId w:val="6"/>
        </w:numPr>
        <w:rPr>
          <w:rFonts w:eastAsia="Arial"/>
          <w:sz w:val="24"/>
          <w:szCs w:val="24"/>
        </w:rPr>
      </w:pPr>
      <w:r w:rsidRPr="00D649E6">
        <w:rPr>
          <w:rFonts w:eastAsia="Arial"/>
          <w:sz w:val="24"/>
          <w:szCs w:val="24"/>
        </w:rPr>
        <w:t>Mixed-Method Research Design: The Consultant shall apply a combination of quantitative and qualitative research methods</w:t>
      </w:r>
      <w:r w:rsidR="00F976CD">
        <w:rPr>
          <w:rFonts w:eastAsia="Arial"/>
          <w:sz w:val="24"/>
          <w:szCs w:val="24"/>
        </w:rPr>
        <w:t xml:space="preserve"> </w:t>
      </w:r>
      <w:r w:rsidR="00E103E3" w:rsidRPr="000E655D">
        <w:rPr>
          <w:sz w:val="24"/>
          <w:szCs w:val="24"/>
        </w:rPr>
        <w:t xml:space="preserve">and explain how each method </w:t>
      </w:r>
      <w:r w:rsidR="00E103E3" w:rsidRPr="000E655D">
        <w:rPr>
          <w:sz w:val="24"/>
          <w:szCs w:val="24"/>
        </w:rPr>
        <w:lastRenderedPageBreak/>
        <w:t>will contribute to the analytical questions, including triangulation of findings where relevant</w:t>
      </w:r>
      <w:r w:rsidRPr="00D649E6">
        <w:rPr>
          <w:rFonts w:eastAsia="Arial"/>
          <w:sz w:val="24"/>
          <w:szCs w:val="24"/>
        </w:rPr>
        <w:t>. Quantitative approaches will capture measurable patterns, while qualitative methods will provide insights into motivations, perceptions, and decision-making practices.</w:t>
      </w:r>
    </w:p>
    <w:p w14:paraId="431FB17D" w14:textId="75F5142D" w:rsidR="00803213" w:rsidRPr="00D649E6" w:rsidRDefault="00803213" w:rsidP="00D649E6">
      <w:pPr>
        <w:pStyle w:val="ListParagraph"/>
        <w:numPr>
          <w:ilvl w:val="0"/>
          <w:numId w:val="6"/>
        </w:numPr>
        <w:rPr>
          <w:rFonts w:eastAsia="Arial"/>
          <w:sz w:val="24"/>
          <w:szCs w:val="24"/>
        </w:rPr>
      </w:pPr>
      <w:r w:rsidRPr="00D649E6">
        <w:rPr>
          <w:rFonts w:eastAsia="Arial"/>
          <w:sz w:val="24"/>
          <w:szCs w:val="24"/>
        </w:rPr>
        <w:t xml:space="preserve">Sampling and Representation: The </w:t>
      </w:r>
      <w:r w:rsidR="00407DE1" w:rsidRPr="000E655D">
        <w:rPr>
          <w:sz w:val="24"/>
          <w:szCs w:val="24"/>
        </w:rPr>
        <w:t xml:space="preserve">Consultant shall propose a sampling </w:t>
      </w:r>
      <w:r w:rsidRPr="00D649E6">
        <w:rPr>
          <w:rFonts w:eastAsia="Arial"/>
          <w:sz w:val="24"/>
          <w:szCs w:val="24"/>
        </w:rPr>
        <w:t>methodology</w:t>
      </w:r>
      <w:r w:rsidR="004E4A49">
        <w:rPr>
          <w:rFonts w:eastAsia="Arial"/>
          <w:sz w:val="24"/>
          <w:szCs w:val="24"/>
        </w:rPr>
        <w:t xml:space="preserve"> that </w:t>
      </w:r>
      <w:r w:rsidRPr="00CA4D05">
        <w:rPr>
          <w:rFonts w:eastAsia="Arial"/>
          <w:sz w:val="24"/>
          <w:szCs w:val="24"/>
        </w:rPr>
        <w:t>ensure</w:t>
      </w:r>
      <w:r w:rsidR="004E4A49">
        <w:rPr>
          <w:rFonts w:eastAsia="Arial"/>
          <w:sz w:val="24"/>
          <w:szCs w:val="24"/>
        </w:rPr>
        <w:t>s</w:t>
      </w:r>
      <w:r w:rsidRPr="00D649E6">
        <w:rPr>
          <w:rFonts w:eastAsia="Arial"/>
          <w:sz w:val="24"/>
          <w:szCs w:val="24"/>
        </w:rPr>
        <w:t xml:space="preserve"> adequate representation of agricultural producers across different economic sizes, </w:t>
      </w:r>
      <w:r w:rsidR="00547E0A">
        <w:rPr>
          <w:rFonts w:eastAsia="Arial"/>
          <w:sz w:val="24"/>
          <w:szCs w:val="24"/>
        </w:rPr>
        <w:t>geographical areas</w:t>
      </w:r>
      <w:r w:rsidRPr="00CA4D05">
        <w:rPr>
          <w:rFonts w:eastAsia="Arial"/>
          <w:sz w:val="24"/>
          <w:szCs w:val="24"/>
        </w:rPr>
        <w:t>, and production types</w:t>
      </w:r>
      <w:r w:rsidR="00DB2A17">
        <w:rPr>
          <w:rFonts w:eastAsia="Arial"/>
          <w:sz w:val="24"/>
          <w:szCs w:val="24"/>
        </w:rPr>
        <w:t xml:space="preserve">, </w:t>
      </w:r>
      <w:r w:rsidR="00DB2A17" w:rsidRPr="000E655D">
        <w:rPr>
          <w:sz w:val="24"/>
          <w:szCs w:val="24"/>
        </w:rPr>
        <w:t>with justification of sample selection and any limitations</w:t>
      </w:r>
      <w:r w:rsidRPr="00D649E6">
        <w:rPr>
          <w:rFonts w:eastAsia="Arial"/>
          <w:sz w:val="24"/>
          <w:szCs w:val="24"/>
        </w:rPr>
        <w:t>.</w:t>
      </w:r>
    </w:p>
    <w:p w14:paraId="41FD89E7" w14:textId="77777777" w:rsidR="00123B1E" w:rsidRPr="00D649E6" w:rsidRDefault="00123B1E" w:rsidP="00D649E6">
      <w:pPr>
        <w:pStyle w:val="ListParagraph"/>
        <w:widowControl/>
        <w:numPr>
          <w:ilvl w:val="0"/>
          <w:numId w:val="6"/>
        </w:numPr>
        <w:jc w:val="both"/>
        <w:rPr>
          <w:rFonts w:eastAsia="Arial"/>
          <w:sz w:val="24"/>
          <w:szCs w:val="24"/>
        </w:rPr>
      </w:pPr>
      <w:r>
        <w:rPr>
          <w:sz w:val="24"/>
          <w:szCs w:val="24"/>
        </w:rPr>
        <w:t>Data Quality, Ethics, and Minimum Data Outputs: The Consultant shall establish appropriate quality assurance procedures for data collection, processing, and analysis, and shall ensure confidentiality of respondents and proper handling of any personal or sensitive information collected during the assignment. The Inception Report shall specify the proposed sample, geographic coverage, subsector coverage, data collection instruments, and quality-control procedures. Quantitative and qualitative data shall be analyzed in an integrated manner.</w:t>
      </w:r>
    </w:p>
    <w:p w14:paraId="4E92BF0B" w14:textId="36EF18C5" w:rsidR="00803213" w:rsidRPr="00CA4D05" w:rsidRDefault="00803213" w:rsidP="00D649E6">
      <w:pPr>
        <w:pStyle w:val="ListParagraph"/>
        <w:numPr>
          <w:ilvl w:val="0"/>
          <w:numId w:val="6"/>
        </w:numPr>
        <w:rPr>
          <w:rFonts w:eastAsia="Arial"/>
          <w:sz w:val="24"/>
          <w:szCs w:val="24"/>
        </w:rPr>
      </w:pPr>
      <w:r w:rsidRPr="00CA4D05">
        <w:rPr>
          <w:rFonts w:eastAsia="Arial"/>
          <w:sz w:val="24"/>
          <w:szCs w:val="24"/>
        </w:rPr>
        <w:t xml:space="preserve">Stakeholder Engagement: The methodology shall include </w:t>
      </w:r>
      <w:r w:rsidR="00807EF1">
        <w:rPr>
          <w:rFonts w:eastAsia="Arial"/>
          <w:sz w:val="24"/>
          <w:szCs w:val="24"/>
        </w:rPr>
        <w:t>consultation</w:t>
      </w:r>
      <w:r w:rsidR="00440F22">
        <w:rPr>
          <w:rFonts w:eastAsia="Arial"/>
          <w:sz w:val="24"/>
          <w:szCs w:val="24"/>
        </w:rPr>
        <w:t xml:space="preserve">, </w:t>
      </w:r>
      <w:r w:rsidR="00440F22" w:rsidRPr="000E655D">
        <w:rPr>
          <w:sz w:val="24"/>
          <w:szCs w:val="24"/>
        </w:rPr>
        <w:t>as appropriate</w:t>
      </w:r>
      <w:proofErr w:type="gramStart"/>
      <w:r w:rsidR="00440F22" w:rsidRPr="000E655D">
        <w:rPr>
          <w:sz w:val="24"/>
          <w:szCs w:val="24"/>
        </w:rPr>
        <w:t xml:space="preserve">, </w:t>
      </w:r>
      <w:r w:rsidRPr="00CA4D05">
        <w:rPr>
          <w:rFonts w:eastAsia="Arial"/>
          <w:sz w:val="24"/>
          <w:szCs w:val="24"/>
        </w:rPr>
        <w:t xml:space="preserve"> with</w:t>
      </w:r>
      <w:proofErr w:type="gramEnd"/>
      <w:r w:rsidRPr="00CA4D05">
        <w:rPr>
          <w:rFonts w:eastAsia="Arial"/>
          <w:sz w:val="24"/>
          <w:szCs w:val="24"/>
        </w:rPr>
        <w:t xml:space="preserve"> relevant stakeholders, including agricultural producers, advisory services, financial institutions, and value chain actors.</w:t>
      </w:r>
    </w:p>
    <w:p w14:paraId="6EB7D9D7" w14:textId="409EEFEA" w:rsidR="00803213" w:rsidRPr="00D649E6" w:rsidRDefault="00803213" w:rsidP="00D649E6">
      <w:pPr>
        <w:pStyle w:val="ListParagraph"/>
        <w:numPr>
          <w:ilvl w:val="0"/>
          <w:numId w:val="6"/>
        </w:numPr>
        <w:rPr>
          <w:rFonts w:eastAsia="Arial"/>
          <w:sz w:val="24"/>
          <w:szCs w:val="24"/>
        </w:rPr>
      </w:pPr>
      <w:r w:rsidRPr="00CA4D05">
        <w:rPr>
          <w:rFonts w:eastAsia="Arial"/>
          <w:sz w:val="24"/>
          <w:szCs w:val="24"/>
        </w:rPr>
        <w:t xml:space="preserve">Segmentation and Behavioral Analysis: The Consultant shall apply appropriate analytical </w:t>
      </w:r>
      <w:r w:rsidR="00123C41">
        <w:rPr>
          <w:rFonts w:eastAsia="Arial"/>
          <w:sz w:val="24"/>
          <w:szCs w:val="24"/>
        </w:rPr>
        <w:t xml:space="preserve">segmentation </w:t>
      </w:r>
      <w:r w:rsidRPr="00D649E6">
        <w:rPr>
          <w:rFonts w:eastAsia="Arial"/>
          <w:sz w:val="24"/>
          <w:szCs w:val="24"/>
        </w:rPr>
        <w:t>approaches to identify and characterize different decision-making patterns among agricultural producers</w:t>
      </w:r>
      <w:r w:rsidR="002264C3">
        <w:rPr>
          <w:rFonts w:eastAsia="Arial"/>
          <w:sz w:val="24"/>
          <w:szCs w:val="24"/>
        </w:rPr>
        <w:t xml:space="preserve"> </w:t>
      </w:r>
      <w:r w:rsidR="002264C3" w:rsidRPr="000E655D">
        <w:rPr>
          <w:sz w:val="24"/>
          <w:szCs w:val="24"/>
        </w:rPr>
        <w:t>and explain the implications of those patterns for program design</w:t>
      </w:r>
      <w:r w:rsidRPr="00D649E6">
        <w:rPr>
          <w:rFonts w:eastAsia="Arial"/>
          <w:sz w:val="24"/>
          <w:szCs w:val="24"/>
        </w:rPr>
        <w:t>.</w:t>
      </w:r>
    </w:p>
    <w:p w14:paraId="00CE894A" w14:textId="77777777" w:rsidR="000E60E6" w:rsidRDefault="000E60E6">
      <w:pPr>
        <w:spacing w:after="160"/>
        <w:jc w:val="both"/>
        <w:rPr>
          <w:kern w:val="2"/>
          <w14:ligatures w14:val="standardContextual"/>
        </w:rPr>
      </w:pPr>
      <w:r>
        <w:rPr>
          <w:sz w:val="24"/>
          <w:szCs w:val="24"/>
        </w:rPr>
        <w:t>The final methodology will be agreed during the inception phase and documented in the Inception Report.</w:t>
      </w:r>
    </w:p>
    <w:p w14:paraId="4156022B" w14:textId="77777777" w:rsidR="00803213" w:rsidRPr="00B360FF" w:rsidRDefault="00803213" w:rsidP="00803213">
      <w:pPr>
        <w:widowControl/>
        <w:autoSpaceDE/>
        <w:autoSpaceDN/>
        <w:spacing w:before="240" w:after="120"/>
        <w:outlineLvl w:val="1"/>
        <w:rPr>
          <w:rFonts w:eastAsia="Arial"/>
          <w:b/>
          <w:bCs/>
          <w:color w:val="000000"/>
          <w:sz w:val="24"/>
          <w:szCs w:val="24"/>
        </w:rPr>
      </w:pPr>
      <w:r w:rsidRPr="00B360FF">
        <w:rPr>
          <w:rFonts w:eastAsia="Arial"/>
          <w:b/>
          <w:bCs/>
          <w:color w:val="000000"/>
          <w:sz w:val="24"/>
          <w:szCs w:val="24"/>
        </w:rPr>
        <w:t>5. Deliverables</w:t>
      </w:r>
    </w:p>
    <w:p w14:paraId="77C6E43B" w14:textId="77777777" w:rsidR="000E60E6" w:rsidRDefault="000E60E6">
      <w:pPr>
        <w:spacing w:after="160"/>
        <w:rPr>
          <w:kern w:val="2"/>
          <w14:ligatures w14:val="standardContextual"/>
        </w:rPr>
      </w:pPr>
      <w:r>
        <w:rPr>
          <w:sz w:val="24"/>
          <w:szCs w:val="24"/>
        </w:rPr>
        <w:t xml:space="preserve">The consultancy will produce the deliverables listed below. All deliverables shall be </w:t>
      </w:r>
      <w:r>
        <w:rPr>
          <w:sz w:val="24"/>
          <w:szCs w:val="24"/>
        </w:rPr>
        <w:lastRenderedPageBreak/>
        <w:t>submitted electronically in Serbian and English, unless otherwise agreed by the Client.</w:t>
      </w:r>
    </w:p>
    <w:tbl>
      <w:tblPr>
        <w:tblStyle w:val="GridTable1Light1"/>
        <w:tblW w:w="9918" w:type="dxa"/>
        <w:tblInd w:w="-998" w:type="dxa"/>
        <w:tblLook w:val="04A0" w:firstRow="1" w:lastRow="0" w:firstColumn="1" w:lastColumn="0" w:noHBand="0" w:noVBand="1"/>
      </w:tblPr>
      <w:tblGrid>
        <w:gridCol w:w="1713"/>
        <w:gridCol w:w="4846"/>
        <w:gridCol w:w="1440"/>
        <w:gridCol w:w="1919"/>
      </w:tblGrid>
      <w:tr w:rsidR="00B66716" w:rsidRPr="00B360FF" w14:paraId="0818DC96" w14:textId="76EB5D44" w:rsidTr="00B66716">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713" w:type="dxa"/>
          </w:tcPr>
          <w:p w14:paraId="17A078EA" w14:textId="77777777" w:rsidR="00B66716" w:rsidRPr="00B360FF" w:rsidRDefault="00B66716" w:rsidP="00803213">
            <w:pPr>
              <w:jc w:val="both"/>
              <w:rPr>
                <w:rFonts w:eastAsia="Arial"/>
                <w:sz w:val="24"/>
                <w:szCs w:val="24"/>
              </w:rPr>
            </w:pPr>
            <w:r w:rsidRPr="00B360FF">
              <w:rPr>
                <w:rFonts w:eastAsia="Arial"/>
                <w:sz w:val="24"/>
                <w:szCs w:val="24"/>
              </w:rPr>
              <w:t>Deliverable</w:t>
            </w:r>
          </w:p>
        </w:tc>
        <w:tc>
          <w:tcPr>
            <w:tcW w:w="4846" w:type="dxa"/>
          </w:tcPr>
          <w:p w14:paraId="024B60C2" w14:textId="77777777" w:rsidR="00B66716" w:rsidRPr="00B360FF" w:rsidRDefault="00B66716" w:rsidP="00803213">
            <w:pPr>
              <w:jc w:val="both"/>
              <w:cnfStyle w:val="100000000000" w:firstRow="1"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Report</w:t>
            </w:r>
          </w:p>
        </w:tc>
        <w:tc>
          <w:tcPr>
            <w:tcW w:w="1440" w:type="dxa"/>
          </w:tcPr>
          <w:p w14:paraId="20CBAB59" w14:textId="77777777" w:rsidR="00B66716" w:rsidRPr="00B360FF" w:rsidRDefault="00B66716" w:rsidP="00803213">
            <w:pPr>
              <w:jc w:val="both"/>
              <w:cnfStyle w:val="100000000000" w:firstRow="1"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Timeline</w:t>
            </w:r>
          </w:p>
        </w:tc>
        <w:tc>
          <w:tcPr>
            <w:tcW w:w="1919" w:type="dxa"/>
          </w:tcPr>
          <w:p w14:paraId="40794A01" w14:textId="77777777" w:rsidR="00B66716" w:rsidRPr="00B360FF" w:rsidRDefault="00B66716" w:rsidP="00803213">
            <w:pPr>
              <w:jc w:val="both"/>
              <w:cnfStyle w:val="100000000000" w:firstRow="1"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Form and Language</w:t>
            </w:r>
          </w:p>
        </w:tc>
      </w:tr>
      <w:tr w:rsidR="00B66716" w:rsidRPr="00B360FF" w14:paraId="13FB13BE" w14:textId="673CE187" w:rsidTr="00B66716">
        <w:trPr>
          <w:trHeight w:val="2437"/>
        </w:trPr>
        <w:tc>
          <w:tcPr>
            <w:cnfStyle w:val="001000000000" w:firstRow="0" w:lastRow="0" w:firstColumn="1" w:lastColumn="0" w:oddVBand="0" w:evenVBand="0" w:oddHBand="0" w:evenHBand="0" w:firstRowFirstColumn="0" w:firstRowLastColumn="0" w:lastRowFirstColumn="0" w:lastRowLastColumn="0"/>
            <w:tcW w:w="1713" w:type="dxa"/>
          </w:tcPr>
          <w:p w14:paraId="3CD32043" w14:textId="77777777" w:rsidR="00B66716" w:rsidRPr="00B360FF" w:rsidRDefault="00B66716" w:rsidP="001E4820">
            <w:pPr>
              <w:rPr>
                <w:rFonts w:eastAsia="Arial"/>
                <w:sz w:val="24"/>
                <w:szCs w:val="24"/>
              </w:rPr>
            </w:pPr>
            <w:r w:rsidRPr="00B360FF">
              <w:rPr>
                <w:rFonts w:eastAsia="Arial"/>
                <w:sz w:val="24"/>
                <w:szCs w:val="24"/>
              </w:rPr>
              <w:t>Deliverable 1: Inception Report</w:t>
            </w:r>
          </w:p>
        </w:tc>
        <w:tc>
          <w:tcPr>
            <w:tcW w:w="4846" w:type="dxa"/>
          </w:tcPr>
          <w:p w14:paraId="0A8985E8" w14:textId="77777777" w:rsidR="00B66716" w:rsidRPr="00B360FF" w:rsidRDefault="00B66716" w:rsidP="00803213">
            <w:pPr>
              <w:jc w:val="both"/>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The report shall present the proposed methodology, analytical framework, sampling approach, and data collection tools for both quantitative and qualitative research. It shall also include a refined segmentation approach (by farm size and other relevant criteria), key research questions, identification of data gaps based on initial desk review, and a proposed work plan for the implementation of the assignment.</w:t>
            </w:r>
          </w:p>
        </w:tc>
        <w:tc>
          <w:tcPr>
            <w:tcW w:w="1440" w:type="dxa"/>
          </w:tcPr>
          <w:p w14:paraId="58E2C768" w14:textId="7A6C0F93"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 xml:space="preserve">Up to </w:t>
            </w:r>
            <w:r>
              <w:rPr>
                <w:rFonts w:eastAsia="Arial"/>
                <w:sz w:val="24"/>
                <w:szCs w:val="24"/>
              </w:rPr>
              <w:t>30  days</w:t>
            </w:r>
            <w:r w:rsidRPr="00B360FF">
              <w:rPr>
                <w:rFonts w:eastAsia="Arial"/>
                <w:sz w:val="24"/>
                <w:szCs w:val="24"/>
              </w:rPr>
              <w:t xml:space="preserve"> after contract signing</w:t>
            </w:r>
          </w:p>
        </w:tc>
        <w:tc>
          <w:tcPr>
            <w:tcW w:w="1919" w:type="dxa"/>
          </w:tcPr>
          <w:p w14:paraId="0F08CE7B" w14:textId="77777777"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In Serbian and English language.</w:t>
            </w:r>
          </w:p>
          <w:p w14:paraId="5FE5F529" w14:textId="77777777"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Electronic version.</w:t>
            </w:r>
          </w:p>
        </w:tc>
      </w:tr>
      <w:tr w:rsidR="00B66716" w:rsidRPr="00B360FF" w14:paraId="1A6F2AD9" w14:textId="440843BE" w:rsidTr="00B66716">
        <w:trPr>
          <w:trHeight w:val="1990"/>
        </w:trPr>
        <w:tc>
          <w:tcPr>
            <w:cnfStyle w:val="001000000000" w:firstRow="0" w:lastRow="0" w:firstColumn="1" w:lastColumn="0" w:oddVBand="0" w:evenVBand="0" w:oddHBand="0" w:evenHBand="0" w:firstRowFirstColumn="0" w:firstRowLastColumn="0" w:lastRowFirstColumn="0" w:lastRowLastColumn="0"/>
            <w:tcW w:w="1713" w:type="dxa"/>
          </w:tcPr>
          <w:p w14:paraId="22311E71" w14:textId="77777777" w:rsidR="00B66716" w:rsidRPr="00B360FF" w:rsidRDefault="00B66716" w:rsidP="001E4820">
            <w:pPr>
              <w:rPr>
                <w:rFonts w:eastAsia="Arial"/>
                <w:sz w:val="24"/>
                <w:szCs w:val="24"/>
              </w:rPr>
            </w:pPr>
            <w:r w:rsidRPr="00B360FF">
              <w:rPr>
                <w:rFonts w:eastAsia="Arial"/>
                <w:sz w:val="24"/>
                <w:szCs w:val="24"/>
              </w:rPr>
              <w:t>Deliverable 2: Interim Analytical Report</w:t>
            </w:r>
          </w:p>
        </w:tc>
        <w:tc>
          <w:tcPr>
            <w:tcW w:w="4846" w:type="dxa"/>
          </w:tcPr>
          <w:p w14:paraId="5169944A" w14:textId="77777777" w:rsidR="00B66716" w:rsidRPr="00B360FF" w:rsidRDefault="00B66716" w:rsidP="00803213">
            <w:pPr>
              <w:jc w:val="both"/>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The report shall present preliminary findings based on initial data collection and analysis. It shall include early insights on decision-making processes, key influencing factors, initial segmentation results, and emerging patterns across farm types. The report shall also identify any data limitations and propose adjustments to the analytical approach, as needed.</w:t>
            </w:r>
          </w:p>
        </w:tc>
        <w:tc>
          <w:tcPr>
            <w:tcW w:w="1440" w:type="dxa"/>
          </w:tcPr>
          <w:p w14:paraId="5A6AC069" w14:textId="4388DB7C"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Up to</w:t>
            </w:r>
            <w:r>
              <w:rPr>
                <w:rFonts w:eastAsia="Arial"/>
                <w:sz w:val="24"/>
                <w:szCs w:val="24"/>
              </w:rPr>
              <w:t xml:space="preserve"> 50 days</w:t>
            </w:r>
            <w:r w:rsidRPr="00B360FF">
              <w:rPr>
                <w:rFonts w:eastAsia="Arial"/>
                <w:sz w:val="24"/>
                <w:szCs w:val="24"/>
              </w:rPr>
              <w:t xml:space="preserve"> after contract signing</w:t>
            </w:r>
          </w:p>
        </w:tc>
        <w:tc>
          <w:tcPr>
            <w:tcW w:w="1919" w:type="dxa"/>
          </w:tcPr>
          <w:p w14:paraId="4C645AB4" w14:textId="77777777"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In Serbian and English language.</w:t>
            </w:r>
          </w:p>
          <w:p w14:paraId="40F88E12" w14:textId="77777777"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Electronic version.</w:t>
            </w:r>
          </w:p>
        </w:tc>
      </w:tr>
      <w:tr w:rsidR="00B66716" w:rsidRPr="00B360FF" w14:paraId="092A0540" w14:textId="1A1A0E70" w:rsidTr="00B66716">
        <w:trPr>
          <w:trHeight w:val="2661"/>
        </w:trPr>
        <w:tc>
          <w:tcPr>
            <w:cnfStyle w:val="001000000000" w:firstRow="0" w:lastRow="0" w:firstColumn="1" w:lastColumn="0" w:oddVBand="0" w:evenVBand="0" w:oddHBand="0" w:evenHBand="0" w:firstRowFirstColumn="0" w:firstRowLastColumn="0" w:lastRowFirstColumn="0" w:lastRowLastColumn="0"/>
            <w:tcW w:w="1713" w:type="dxa"/>
          </w:tcPr>
          <w:p w14:paraId="35CB864C" w14:textId="77777777" w:rsidR="00B66716" w:rsidRPr="00B360FF" w:rsidRDefault="00B66716" w:rsidP="001E4820">
            <w:pPr>
              <w:rPr>
                <w:rFonts w:eastAsia="Arial"/>
                <w:sz w:val="24"/>
                <w:szCs w:val="24"/>
              </w:rPr>
            </w:pPr>
            <w:r w:rsidRPr="00B360FF">
              <w:rPr>
                <w:rFonts w:eastAsia="Arial"/>
                <w:sz w:val="24"/>
                <w:szCs w:val="24"/>
              </w:rPr>
              <w:t>Deliverable 3: Draft Final Report</w:t>
            </w:r>
          </w:p>
        </w:tc>
        <w:tc>
          <w:tcPr>
            <w:tcW w:w="4846" w:type="dxa"/>
          </w:tcPr>
          <w:p w14:paraId="5BEBE5AD" w14:textId="1141637E" w:rsidR="00B66716" w:rsidRPr="00B360FF" w:rsidRDefault="00B66716" w:rsidP="00803213">
            <w:pPr>
              <w:jc w:val="both"/>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The report shall provide a comprehensive analysis of farm-level decision-making, including the mapping of decision-making processes, analysis of key drivers and constraints, use of information, segmentation by farm size, and development of decision-making typologies. It shall also include preliminary policy-relevant insights and recommendations. The draft report will be submitted for review and stakeholder feedback.</w:t>
            </w:r>
            <w:r w:rsidR="00C2250B">
              <w:rPr>
                <w:sz w:val="24"/>
                <w:szCs w:val="24"/>
              </w:rPr>
              <w:t xml:space="preserve"> Unless otherwise agreed by the Client, the Consultant shall submit, together with the Draft Final Report, the final data collection instruments and cleaned datasets in editable electronic format.</w:t>
            </w:r>
          </w:p>
        </w:tc>
        <w:tc>
          <w:tcPr>
            <w:tcW w:w="1440" w:type="dxa"/>
          </w:tcPr>
          <w:p w14:paraId="03D71669" w14:textId="484229A3"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 xml:space="preserve">Up to </w:t>
            </w:r>
            <w:r>
              <w:rPr>
                <w:rFonts w:eastAsia="Arial"/>
                <w:sz w:val="24"/>
                <w:szCs w:val="24"/>
              </w:rPr>
              <w:t>80 days</w:t>
            </w:r>
            <w:r w:rsidRPr="00B360FF">
              <w:rPr>
                <w:rFonts w:eastAsia="Arial"/>
                <w:sz w:val="24"/>
                <w:szCs w:val="24"/>
              </w:rPr>
              <w:t xml:space="preserve"> after contract signing</w:t>
            </w:r>
          </w:p>
        </w:tc>
        <w:tc>
          <w:tcPr>
            <w:tcW w:w="1919" w:type="dxa"/>
          </w:tcPr>
          <w:p w14:paraId="6D837795" w14:textId="77777777"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In Serbian and English language.</w:t>
            </w:r>
          </w:p>
          <w:p w14:paraId="678F8D3B" w14:textId="77777777"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Electronic version.</w:t>
            </w:r>
          </w:p>
        </w:tc>
      </w:tr>
      <w:tr w:rsidR="00B66716" w:rsidRPr="00B360FF" w14:paraId="32D000B0" w14:textId="02D97CFA" w:rsidTr="00B66716">
        <w:trPr>
          <w:trHeight w:val="2010"/>
        </w:trPr>
        <w:tc>
          <w:tcPr>
            <w:cnfStyle w:val="001000000000" w:firstRow="0" w:lastRow="0" w:firstColumn="1" w:lastColumn="0" w:oddVBand="0" w:evenVBand="0" w:oddHBand="0" w:evenHBand="0" w:firstRowFirstColumn="0" w:firstRowLastColumn="0" w:lastRowFirstColumn="0" w:lastRowLastColumn="0"/>
            <w:tcW w:w="1713" w:type="dxa"/>
          </w:tcPr>
          <w:p w14:paraId="2C18228C" w14:textId="77777777" w:rsidR="00B66716" w:rsidRPr="00B360FF" w:rsidRDefault="00B66716" w:rsidP="001E4820">
            <w:pPr>
              <w:rPr>
                <w:rFonts w:eastAsia="Arial"/>
                <w:sz w:val="24"/>
                <w:szCs w:val="24"/>
              </w:rPr>
            </w:pPr>
            <w:r w:rsidRPr="00B360FF">
              <w:rPr>
                <w:rFonts w:eastAsia="Arial"/>
                <w:sz w:val="24"/>
                <w:szCs w:val="24"/>
              </w:rPr>
              <w:t>Deliverable 4: Final Report</w:t>
            </w:r>
          </w:p>
        </w:tc>
        <w:tc>
          <w:tcPr>
            <w:tcW w:w="4846" w:type="dxa"/>
          </w:tcPr>
          <w:p w14:paraId="34F21479" w14:textId="1D017DF2" w:rsidR="00B66716" w:rsidRPr="00B360FF" w:rsidRDefault="00B66716" w:rsidP="00803213">
            <w:pPr>
              <w:jc w:val="both"/>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The final report shall incorporate stakeholder feedback and provide a refined and consolidated analysis. It shall include a clear synthesis of findings, finalized decision-making typologies, and actionable recommendations tailored to different farm segments. The Consultant may be requested to present key findings and recommendations to relevant stakeholders.</w:t>
            </w:r>
            <w:r w:rsidR="00FA6A55">
              <w:rPr>
                <w:rFonts w:eastAsia="Arial"/>
                <w:sz w:val="24"/>
                <w:szCs w:val="24"/>
              </w:rPr>
              <w:t xml:space="preserve"> </w:t>
            </w:r>
            <w:r w:rsidR="00FA6A55">
              <w:rPr>
                <w:sz w:val="24"/>
                <w:szCs w:val="24"/>
              </w:rPr>
              <w:t>If requested by the Client, the Consultant shall resubmit the final data collection instruments and cleaned datasets together with the Final Report.</w:t>
            </w:r>
          </w:p>
        </w:tc>
        <w:tc>
          <w:tcPr>
            <w:tcW w:w="1440" w:type="dxa"/>
          </w:tcPr>
          <w:p w14:paraId="460847F7" w14:textId="75F4419D" w:rsidR="00B66716" w:rsidRPr="00B360FF" w:rsidRDefault="00B66716" w:rsidP="00F84DA5">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Up to</w:t>
            </w:r>
            <w:r>
              <w:rPr>
                <w:rFonts w:eastAsia="Arial"/>
                <w:sz w:val="24"/>
                <w:szCs w:val="24"/>
              </w:rPr>
              <w:t xml:space="preserve"> </w:t>
            </w:r>
            <w:r w:rsidR="00F84DA5">
              <w:rPr>
                <w:rFonts w:eastAsia="Arial"/>
                <w:sz w:val="24"/>
                <w:szCs w:val="24"/>
              </w:rPr>
              <w:t>92</w:t>
            </w:r>
            <w:r>
              <w:rPr>
                <w:rFonts w:eastAsia="Arial"/>
                <w:sz w:val="24"/>
                <w:szCs w:val="24"/>
              </w:rPr>
              <w:t xml:space="preserve"> days </w:t>
            </w:r>
            <w:r w:rsidRPr="00B360FF">
              <w:rPr>
                <w:rFonts w:eastAsia="Arial"/>
                <w:sz w:val="24"/>
                <w:szCs w:val="24"/>
              </w:rPr>
              <w:t>after contract signing, but not later than 31 October 2026</w:t>
            </w:r>
          </w:p>
        </w:tc>
        <w:tc>
          <w:tcPr>
            <w:tcW w:w="1919" w:type="dxa"/>
          </w:tcPr>
          <w:p w14:paraId="46BD98AF" w14:textId="77777777"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In Serbian and English language.</w:t>
            </w:r>
          </w:p>
          <w:p w14:paraId="72975620" w14:textId="77777777" w:rsidR="00B66716" w:rsidRPr="00B360FF" w:rsidRDefault="00B66716" w:rsidP="001E4820">
            <w:pPr>
              <w:cnfStyle w:val="000000000000" w:firstRow="0" w:lastRow="0" w:firstColumn="0" w:lastColumn="0" w:oddVBand="0" w:evenVBand="0" w:oddHBand="0" w:evenHBand="0" w:firstRowFirstColumn="0" w:firstRowLastColumn="0" w:lastRowFirstColumn="0" w:lastRowLastColumn="0"/>
              <w:rPr>
                <w:rFonts w:eastAsia="Arial"/>
                <w:sz w:val="24"/>
                <w:szCs w:val="24"/>
              </w:rPr>
            </w:pPr>
            <w:r w:rsidRPr="00B360FF">
              <w:rPr>
                <w:rFonts w:eastAsia="Arial"/>
                <w:sz w:val="24"/>
                <w:szCs w:val="24"/>
              </w:rPr>
              <w:t>Electronic version.</w:t>
            </w:r>
          </w:p>
        </w:tc>
      </w:tr>
    </w:tbl>
    <w:p w14:paraId="70B72B8A" w14:textId="77777777" w:rsidR="00803213" w:rsidRPr="00B360FF" w:rsidRDefault="00803213" w:rsidP="00803213">
      <w:pPr>
        <w:widowControl/>
        <w:autoSpaceDE/>
        <w:autoSpaceDN/>
        <w:spacing w:after="80"/>
        <w:rPr>
          <w:rFonts w:eastAsia="Arial"/>
          <w:sz w:val="24"/>
          <w:szCs w:val="24"/>
        </w:rPr>
      </w:pPr>
    </w:p>
    <w:p w14:paraId="3E484832" w14:textId="77777777" w:rsidR="000E60E6" w:rsidRDefault="000E60E6">
      <w:pPr>
        <w:spacing w:after="160"/>
        <w:jc w:val="both"/>
        <w:rPr>
          <w:kern w:val="2"/>
          <w14:ligatures w14:val="standardContextual"/>
        </w:rPr>
      </w:pPr>
      <w:r>
        <w:rPr>
          <w:sz w:val="24"/>
          <w:szCs w:val="24"/>
        </w:rPr>
        <w:t xml:space="preserve">The Client will review each deliverable and provide consolidated comments or confirm </w:t>
      </w:r>
      <w:r>
        <w:rPr>
          <w:sz w:val="24"/>
          <w:szCs w:val="24"/>
        </w:rPr>
        <w:lastRenderedPageBreak/>
        <w:t>acceptance within 10 business days after submission, unless otherwise agreed. The Consultant shall revise and resubmit deliverables, as needed, within 5 business days after receiving comments, unless otherwise agreed with the Client.</w:t>
      </w:r>
    </w:p>
    <w:p w14:paraId="311005C1" w14:textId="77777777" w:rsidR="000E60E6" w:rsidRDefault="000E60E6">
      <w:pPr>
        <w:spacing w:after="160"/>
        <w:jc w:val="both"/>
        <w:rPr>
          <w:kern w:val="2"/>
          <w14:ligatures w14:val="standardContextual"/>
        </w:rPr>
      </w:pPr>
      <w:r>
        <w:rPr>
          <w:sz w:val="24"/>
          <w:szCs w:val="24"/>
        </w:rPr>
        <w:t xml:space="preserve">If a deliverable is incomplete, materially inconsistent with this </w:t>
      </w:r>
      <w:proofErr w:type="spellStart"/>
      <w:r>
        <w:rPr>
          <w:sz w:val="24"/>
          <w:szCs w:val="24"/>
        </w:rPr>
        <w:t>ToR</w:t>
      </w:r>
      <w:proofErr w:type="spellEnd"/>
      <w:r>
        <w:rPr>
          <w:sz w:val="24"/>
          <w:szCs w:val="24"/>
        </w:rPr>
        <w:t>, or does not adequately address the Client’s comments, the Client may request revision before acceptance. The Consultant shall make the necessary modifications at no additional cost. Acceptance of deliverables shall be confirmed by the SCAP Project Coordinator or an authorized representative of the Client.</w:t>
      </w:r>
    </w:p>
    <w:p w14:paraId="2F464DF6" w14:textId="77777777" w:rsidR="00803213" w:rsidRPr="00B360FF" w:rsidRDefault="00803213" w:rsidP="00803213">
      <w:pPr>
        <w:widowControl/>
        <w:autoSpaceDE/>
        <w:autoSpaceDN/>
        <w:spacing w:before="240" w:after="120"/>
        <w:outlineLvl w:val="1"/>
        <w:rPr>
          <w:rFonts w:eastAsia="Arial"/>
          <w:b/>
          <w:bCs/>
          <w:color w:val="000000"/>
          <w:sz w:val="24"/>
          <w:szCs w:val="24"/>
        </w:rPr>
      </w:pPr>
      <w:r w:rsidRPr="00B360FF">
        <w:rPr>
          <w:rFonts w:eastAsia="Arial"/>
          <w:b/>
          <w:bCs/>
          <w:color w:val="000000"/>
          <w:sz w:val="24"/>
          <w:szCs w:val="24"/>
        </w:rPr>
        <w:t>6. Institutional and Implementation Arrangements</w:t>
      </w:r>
    </w:p>
    <w:p w14:paraId="2316E23E" w14:textId="77777777" w:rsidR="00130A11" w:rsidRDefault="00130A11">
      <w:pPr>
        <w:spacing w:after="160"/>
        <w:jc w:val="both"/>
        <w:rPr>
          <w:kern w:val="2"/>
          <w14:ligatures w14:val="standardContextual"/>
        </w:rPr>
      </w:pPr>
      <w:r>
        <w:rPr>
          <w:sz w:val="24"/>
          <w:szCs w:val="24"/>
        </w:rPr>
        <w:t>The Consultant will report to the SCAP Project Coordinator, who will serve as the primary counterpart for this assignment and coordinate implementation support on behalf of the Client. The Client will facilitate access to relevant project documentation, provide comments on deliverables, and support coordination with relevant institutions and stakeholders, as needed for implementation of the assignment.</w:t>
      </w:r>
    </w:p>
    <w:p w14:paraId="55C6EE03" w14:textId="77777777" w:rsidR="00803213" w:rsidRPr="00B360FF" w:rsidRDefault="00803213" w:rsidP="00803213">
      <w:pPr>
        <w:widowControl/>
        <w:autoSpaceDE/>
        <w:autoSpaceDN/>
        <w:spacing w:before="240" w:after="120"/>
        <w:outlineLvl w:val="1"/>
        <w:rPr>
          <w:rFonts w:eastAsia="Arial"/>
          <w:b/>
          <w:bCs/>
          <w:color w:val="000000"/>
          <w:sz w:val="24"/>
          <w:szCs w:val="24"/>
        </w:rPr>
      </w:pPr>
      <w:r w:rsidRPr="00B360FF">
        <w:rPr>
          <w:rFonts w:eastAsia="Arial"/>
          <w:b/>
          <w:bCs/>
          <w:color w:val="000000"/>
          <w:sz w:val="24"/>
          <w:szCs w:val="24"/>
        </w:rPr>
        <w:t>7. Engagement</w:t>
      </w:r>
    </w:p>
    <w:p w14:paraId="4BA5BF55" w14:textId="1A7B191B" w:rsidR="00803213" w:rsidRPr="00B360FF" w:rsidRDefault="00803213" w:rsidP="00803213">
      <w:pPr>
        <w:widowControl/>
        <w:autoSpaceDE/>
        <w:autoSpaceDN/>
        <w:spacing w:after="80"/>
        <w:jc w:val="both"/>
        <w:rPr>
          <w:rFonts w:eastAsia="Arial"/>
          <w:sz w:val="24"/>
          <w:szCs w:val="24"/>
        </w:rPr>
      </w:pPr>
      <w:r w:rsidRPr="00B360FF">
        <w:rPr>
          <w:rFonts w:eastAsia="Arial"/>
          <w:b/>
          <w:bCs/>
          <w:sz w:val="24"/>
          <w:szCs w:val="24"/>
        </w:rPr>
        <w:t xml:space="preserve">Type of Contract: </w:t>
      </w:r>
      <w:r w:rsidRPr="00B360FF">
        <w:rPr>
          <w:rFonts w:eastAsia="Arial"/>
          <w:sz w:val="24"/>
          <w:szCs w:val="24"/>
        </w:rPr>
        <w:t xml:space="preserve">The </w:t>
      </w:r>
      <w:r w:rsidR="00A018D5">
        <w:rPr>
          <w:rFonts w:eastAsia="Arial"/>
          <w:sz w:val="24"/>
          <w:szCs w:val="24"/>
        </w:rPr>
        <w:t>assignment</w:t>
      </w:r>
      <w:r w:rsidRPr="00B360FF">
        <w:rPr>
          <w:rFonts w:eastAsia="Arial"/>
          <w:sz w:val="24"/>
          <w:szCs w:val="24"/>
        </w:rPr>
        <w:t xml:space="preserve"> will be executed </w:t>
      </w:r>
      <w:r w:rsidR="0012594E">
        <w:rPr>
          <w:rFonts w:eastAsia="Arial"/>
          <w:sz w:val="24"/>
          <w:szCs w:val="24"/>
        </w:rPr>
        <w:t>under</w:t>
      </w:r>
      <w:r w:rsidRPr="00B360FF">
        <w:rPr>
          <w:rFonts w:eastAsia="Arial"/>
          <w:sz w:val="24"/>
          <w:szCs w:val="24"/>
        </w:rPr>
        <w:t xml:space="preserve"> a lump-sum consultancy contract, with payments tied to the successful delivery of agreed products</w:t>
      </w:r>
      <w:r w:rsidR="00865601">
        <w:rPr>
          <w:rFonts w:eastAsia="Arial"/>
          <w:sz w:val="24"/>
          <w:szCs w:val="24"/>
        </w:rPr>
        <w:t xml:space="preserve"> and </w:t>
      </w:r>
      <w:r w:rsidR="00865601" w:rsidRPr="00865601">
        <w:rPr>
          <w:rFonts w:eastAsia="Arial"/>
          <w:sz w:val="24"/>
          <w:szCs w:val="24"/>
        </w:rPr>
        <w:t>in line with a payment schedule that will be detailed in the contract</w:t>
      </w:r>
      <w:r w:rsidRPr="00B360FF">
        <w:rPr>
          <w:rFonts w:eastAsia="Arial"/>
          <w:sz w:val="24"/>
          <w:szCs w:val="24"/>
        </w:rPr>
        <w:t>.</w:t>
      </w:r>
      <w:r w:rsidR="0012594E">
        <w:rPr>
          <w:rFonts w:eastAsia="Arial"/>
          <w:sz w:val="24"/>
          <w:szCs w:val="24"/>
        </w:rPr>
        <w:t xml:space="preserve"> </w:t>
      </w:r>
      <w:r w:rsidR="00526F52">
        <w:rPr>
          <w:sz w:val="24"/>
          <w:szCs w:val="24"/>
        </w:rPr>
        <w:t>The Consultant’s price shall be deemed to include all costs necessary to carry out the assignment, including data collection, travel, meetings, and presentation of findings, unless otherwise specified in the contract.</w:t>
      </w:r>
    </w:p>
    <w:p w14:paraId="30A9FC57" w14:textId="517E826B" w:rsidR="00803213" w:rsidRPr="00B360FF" w:rsidRDefault="00803213" w:rsidP="00803213">
      <w:pPr>
        <w:widowControl/>
        <w:autoSpaceDE/>
        <w:autoSpaceDN/>
        <w:spacing w:after="80"/>
        <w:jc w:val="both"/>
        <w:rPr>
          <w:rFonts w:eastAsia="Arial"/>
          <w:sz w:val="24"/>
          <w:szCs w:val="24"/>
        </w:rPr>
      </w:pPr>
      <w:r w:rsidRPr="00B360FF">
        <w:rPr>
          <w:rFonts w:eastAsia="Arial"/>
          <w:b/>
          <w:bCs/>
          <w:sz w:val="24"/>
          <w:szCs w:val="24"/>
        </w:rPr>
        <w:t xml:space="preserve">Duration of Contract: </w:t>
      </w:r>
      <w:r w:rsidRPr="00B360FF">
        <w:rPr>
          <w:rFonts w:eastAsia="Arial"/>
          <w:sz w:val="24"/>
          <w:szCs w:val="24"/>
        </w:rPr>
        <w:t xml:space="preserve">The duration of the contract will be up </w:t>
      </w:r>
      <w:r w:rsidRPr="00B66716">
        <w:rPr>
          <w:rFonts w:eastAsia="Arial"/>
          <w:sz w:val="24"/>
          <w:szCs w:val="24"/>
        </w:rPr>
        <w:t>to</w:t>
      </w:r>
      <w:r w:rsidR="0083442C" w:rsidRPr="00B66716">
        <w:rPr>
          <w:rFonts w:eastAsia="Arial"/>
          <w:sz w:val="24"/>
          <w:szCs w:val="24"/>
        </w:rPr>
        <w:t xml:space="preserve"> </w:t>
      </w:r>
      <w:r w:rsidR="00A24BB2">
        <w:rPr>
          <w:rFonts w:eastAsia="Arial"/>
          <w:sz w:val="24"/>
          <w:szCs w:val="24"/>
        </w:rPr>
        <w:t>92</w:t>
      </w:r>
      <w:r w:rsidR="00C21FD7">
        <w:rPr>
          <w:rFonts w:eastAsia="Arial"/>
          <w:sz w:val="24"/>
          <w:szCs w:val="24"/>
        </w:rPr>
        <w:t xml:space="preserve"> </w:t>
      </w:r>
      <w:r w:rsidR="0083442C" w:rsidRPr="00B66716">
        <w:rPr>
          <w:rFonts w:eastAsia="Arial"/>
          <w:sz w:val="24"/>
          <w:szCs w:val="24"/>
        </w:rPr>
        <w:t>days (</w:t>
      </w:r>
      <w:r w:rsidR="00593D5C" w:rsidRPr="00B66716">
        <w:rPr>
          <w:rFonts w:eastAsia="Arial"/>
          <w:sz w:val="24"/>
          <w:szCs w:val="24"/>
        </w:rPr>
        <w:t>July</w:t>
      </w:r>
      <w:r w:rsidRPr="00B360FF">
        <w:rPr>
          <w:rFonts w:eastAsia="Arial"/>
          <w:sz w:val="24"/>
          <w:szCs w:val="24"/>
        </w:rPr>
        <w:t>–October 2026), not to exceed 31 October 2026, ensuring sufficient time for thorough analysis, stakeholder engagement, and the development of comprehensive recommendations.</w:t>
      </w:r>
    </w:p>
    <w:p w14:paraId="044274FE" w14:textId="71CA8276" w:rsidR="00803213" w:rsidRPr="00B360FF" w:rsidRDefault="00803213" w:rsidP="00803213">
      <w:pPr>
        <w:widowControl/>
        <w:autoSpaceDE/>
        <w:autoSpaceDN/>
        <w:spacing w:after="160"/>
        <w:jc w:val="both"/>
        <w:rPr>
          <w:rFonts w:eastAsia="Arial"/>
          <w:sz w:val="24"/>
          <w:szCs w:val="24"/>
        </w:rPr>
      </w:pPr>
      <w:r w:rsidRPr="00B360FF">
        <w:rPr>
          <w:rFonts w:eastAsia="Arial"/>
          <w:b/>
          <w:bCs/>
          <w:sz w:val="24"/>
          <w:szCs w:val="24"/>
        </w:rPr>
        <w:lastRenderedPageBreak/>
        <w:t xml:space="preserve">Functional Dependency: </w:t>
      </w:r>
      <w:r w:rsidRPr="00B360FF">
        <w:rPr>
          <w:rFonts w:eastAsia="Arial"/>
          <w:sz w:val="24"/>
          <w:szCs w:val="24"/>
        </w:rPr>
        <w:t xml:space="preserve">The consultancy will operate under the supervision of the SCAP </w:t>
      </w:r>
      <w:proofErr w:type="gramStart"/>
      <w:r w:rsidRPr="00B360FF">
        <w:rPr>
          <w:rFonts w:eastAsia="Arial"/>
          <w:sz w:val="24"/>
          <w:szCs w:val="24"/>
        </w:rPr>
        <w:t xml:space="preserve">Project </w:t>
      </w:r>
      <w:r w:rsidR="00B55471" w:rsidRPr="00B55471">
        <w:rPr>
          <w:sz w:val="24"/>
          <w:szCs w:val="24"/>
        </w:rPr>
        <w:t xml:space="preserve"> </w:t>
      </w:r>
      <w:r w:rsidR="00B55471">
        <w:rPr>
          <w:sz w:val="24"/>
          <w:szCs w:val="24"/>
        </w:rPr>
        <w:t>Coordinator</w:t>
      </w:r>
      <w:proofErr w:type="gramEnd"/>
      <w:r w:rsidRPr="00B360FF">
        <w:rPr>
          <w:rFonts w:eastAsia="Arial"/>
          <w:sz w:val="24"/>
          <w:szCs w:val="24"/>
        </w:rPr>
        <w:t xml:space="preserve">. The Consultant/Firm will </w:t>
      </w:r>
      <w:r w:rsidR="00DE2576">
        <w:rPr>
          <w:rFonts w:eastAsia="Arial"/>
          <w:sz w:val="24"/>
          <w:szCs w:val="24"/>
        </w:rPr>
        <w:t>submit</w:t>
      </w:r>
      <w:r w:rsidRPr="00B360FF">
        <w:rPr>
          <w:rFonts w:eastAsia="Arial"/>
          <w:sz w:val="24"/>
          <w:szCs w:val="24"/>
        </w:rPr>
        <w:t xml:space="preserve"> progress reports and all finalized deliverables to the </w:t>
      </w:r>
      <w:proofErr w:type="gramStart"/>
      <w:r w:rsidRPr="00B360FF">
        <w:rPr>
          <w:rFonts w:eastAsia="Arial"/>
          <w:sz w:val="24"/>
          <w:szCs w:val="24"/>
        </w:rPr>
        <w:t xml:space="preserve">Project </w:t>
      </w:r>
      <w:r w:rsidR="00DE2576" w:rsidRPr="00DE2576">
        <w:rPr>
          <w:sz w:val="24"/>
          <w:szCs w:val="24"/>
        </w:rPr>
        <w:t xml:space="preserve"> </w:t>
      </w:r>
      <w:r w:rsidR="00DE2576">
        <w:rPr>
          <w:sz w:val="24"/>
          <w:szCs w:val="24"/>
        </w:rPr>
        <w:t>Coordinator</w:t>
      </w:r>
      <w:proofErr w:type="gramEnd"/>
      <w:r w:rsidRPr="00B360FF">
        <w:rPr>
          <w:rFonts w:eastAsia="Arial"/>
          <w:sz w:val="24"/>
          <w:szCs w:val="24"/>
        </w:rPr>
        <w:t>, who will oversee coordination and alignment with the project’s overall objectives.</w:t>
      </w:r>
    </w:p>
    <w:p w14:paraId="048EF085" w14:textId="77777777" w:rsidR="00803213" w:rsidRPr="00B360FF" w:rsidRDefault="00803213" w:rsidP="00803213">
      <w:pPr>
        <w:widowControl/>
        <w:autoSpaceDE/>
        <w:autoSpaceDN/>
        <w:spacing w:before="240" w:after="120"/>
        <w:jc w:val="both"/>
        <w:outlineLvl w:val="1"/>
        <w:rPr>
          <w:rFonts w:eastAsia="Arial"/>
          <w:b/>
          <w:bCs/>
          <w:color w:val="000000"/>
          <w:sz w:val="24"/>
          <w:szCs w:val="24"/>
        </w:rPr>
      </w:pPr>
      <w:r w:rsidRPr="00B360FF">
        <w:rPr>
          <w:rFonts w:eastAsia="Arial"/>
          <w:b/>
          <w:bCs/>
          <w:color w:val="000000"/>
          <w:sz w:val="24"/>
          <w:szCs w:val="24"/>
        </w:rPr>
        <w:t>8. Acceptance Criteria</w:t>
      </w:r>
    </w:p>
    <w:p w14:paraId="25A17130" w14:textId="77777777" w:rsidR="002A22BF" w:rsidRDefault="002A22BF">
      <w:pPr>
        <w:spacing w:after="160"/>
        <w:jc w:val="both"/>
        <w:rPr>
          <w:kern w:val="2"/>
          <w14:ligatures w14:val="standardContextual"/>
        </w:rPr>
      </w:pPr>
      <w:r>
        <w:rPr>
          <w:sz w:val="24"/>
          <w:szCs w:val="24"/>
        </w:rPr>
        <w:t xml:space="preserve">For purposes of contract administration, a deliverable will be considered acceptable when it is complete, of satisfactory quality, consistent with this </w:t>
      </w:r>
      <w:proofErr w:type="spellStart"/>
      <w:r>
        <w:rPr>
          <w:sz w:val="24"/>
          <w:szCs w:val="24"/>
        </w:rPr>
        <w:t>ToR</w:t>
      </w:r>
      <w:proofErr w:type="spellEnd"/>
      <w:r>
        <w:rPr>
          <w:sz w:val="24"/>
          <w:szCs w:val="24"/>
        </w:rPr>
        <w:t>, and responsive to the Client’s comments. Acceptance shall be confirmed by the SCAP Project Coordinator or an authorized representative of the Client.</w:t>
      </w:r>
    </w:p>
    <w:p w14:paraId="14DB2805" w14:textId="77777777" w:rsidR="002A22BF" w:rsidRDefault="002A22BF">
      <w:pPr>
        <w:spacing w:after="160"/>
        <w:jc w:val="both"/>
        <w:rPr>
          <w:kern w:val="2"/>
          <w14:ligatures w14:val="standardContextual"/>
        </w:rPr>
      </w:pPr>
      <w:r>
        <w:rPr>
          <w:sz w:val="24"/>
          <w:szCs w:val="24"/>
        </w:rPr>
        <w:t>Contract payments, if linked to deliverables, shall be made in accordance with the payment provisions of the contract following acceptance of the relevant deliverable.</w:t>
      </w:r>
    </w:p>
    <w:p w14:paraId="55A0A1FF" w14:textId="77777777" w:rsidR="002A22BF" w:rsidRDefault="002A22BF">
      <w:pPr>
        <w:spacing w:after="160"/>
        <w:jc w:val="both"/>
        <w:rPr>
          <w:kern w:val="2"/>
          <w14:ligatures w14:val="standardContextual"/>
        </w:rPr>
      </w:pPr>
      <w:r>
        <w:rPr>
          <w:sz w:val="24"/>
          <w:szCs w:val="24"/>
        </w:rPr>
        <w:t>Where revisions are requested, acceptance will be confirmed after the revised deliverable has been found satisfactory.</w:t>
      </w:r>
    </w:p>
    <w:p w14:paraId="37C5F070" w14:textId="77777777" w:rsidR="00803213" w:rsidRPr="00B360FF" w:rsidRDefault="00803213" w:rsidP="00803213">
      <w:pPr>
        <w:widowControl/>
        <w:autoSpaceDE/>
        <w:autoSpaceDN/>
        <w:spacing w:before="240" w:after="120"/>
        <w:jc w:val="both"/>
        <w:outlineLvl w:val="1"/>
        <w:rPr>
          <w:rFonts w:eastAsia="Arial"/>
          <w:b/>
          <w:bCs/>
          <w:color w:val="000000"/>
          <w:sz w:val="24"/>
          <w:szCs w:val="24"/>
        </w:rPr>
      </w:pPr>
      <w:r w:rsidRPr="00B360FF">
        <w:rPr>
          <w:rFonts w:eastAsia="Arial"/>
          <w:b/>
          <w:bCs/>
          <w:color w:val="000000"/>
          <w:sz w:val="24"/>
          <w:szCs w:val="24"/>
        </w:rPr>
        <w:t>9. Other Requirements</w:t>
      </w:r>
    </w:p>
    <w:p w14:paraId="3FA5C976" w14:textId="4CF35B67"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 xml:space="preserve">The Consultant </w:t>
      </w:r>
      <w:r w:rsidR="008D5B92">
        <w:rPr>
          <w:rFonts w:eastAsia="Arial"/>
          <w:sz w:val="24"/>
          <w:szCs w:val="24"/>
        </w:rPr>
        <w:t>shall</w:t>
      </w:r>
      <w:r w:rsidRPr="00B360FF">
        <w:rPr>
          <w:rFonts w:eastAsia="Arial"/>
          <w:sz w:val="24"/>
          <w:szCs w:val="24"/>
        </w:rPr>
        <w:t xml:space="preserve"> perform consulting services in accordance with applicable Serbian legislation</w:t>
      </w:r>
      <w:r w:rsidR="00C84FEC">
        <w:rPr>
          <w:rFonts w:eastAsia="Arial"/>
          <w:sz w:val="24"/>
          <w:szCs w:val="24"/>
        </w:rPr>
        <w:t>,</w:t>
      </w:r>
      <w:r w:rsidRPr="00B360FF">
        <w:rPr>
          <w:rFonts w:eastAsia="Arial"/>
          <w:sz w:val="24"/>
          <w:szCs w:val="24"/>
        </w:rPr>
        <w:t xml:space="preserve"> </w:t>
      </w:r>
      <w:r w:rsidR="00C84FEC">
        <w:rPr>
          <w:sz w:val="24"/>
          <w:szCs w:val="24"/>
        </w:rPr>
        <w:t>professional standards</w:t>
      </w:r>
      <w:r w:rsidR="00C84FEC" w:rsidRPr="00B360FF">
        <w:rPr>
          <w:rFonts w:eastAsia="Arial"/>
          <w:sz w:val="24"/>
          <w:szCs w:val="24"/>
        </w:rPr>
        <w:t xml:space="preserve"> </w:t>
      </w:r>
      <w:r w:rsidRPr="00B360FF">
        <w:rPr>
          <w:rFonts w:eastAsia="Arial"/>
          <w:sz w:val="24"/>
          <w:szCs w:val="24"/>
        </w:rPr>
        <w:t xml:space="preserve">and the requirements defined in this </w:t>
      </w:r>
      <w:proofErr w:type="spellStart"/>
      <w:r w:rsidRPr="00B360FF">
        <w:rPr>
          <w:rFonts w:eastAsia="Arial"/>
          <w:sz w:val="24"/>
          <w:szCs w:val="24"/>
        </w:rPr>
        <w:t>ToR</w:t>
      </w:r>
      <w:proofErr w:type="spellEnd"/>
      <w:r w:rsidR="008D5B92" w:rsidRPr="008D5B92">
        <w:rPr>
          <w:sz w:val="24"/>
          <w:szCs w:val="24"/>
        </w:rPr>
        <w:t xml:space="preserve"> </w:t>
      </w:r>
      <w:r w:rsidR="008D5B92">
        <w:rPr>
          <w:sz w:val="24"/>
          <w:szCs w:val="24"/>
        </w:rPr>
        <w:t>and the contract</w:t>
      </w:r>
      <w:r w:rsidRPr="00B360FF">
        <w:rPr>
          <w:rFonts w:eastAsia="Arial"/>
          <w:sz w:val="24"/>
          <w:szCs w:val="24"/>
        </w:rPr>
        <w:t>.</w:t>
      </w:r>
    </w:p>
    <w:p w14:paraId="3C01AE6E" w14:textId="77777777" w:rsidR="001C7C88" w:rsidRDefault="001C7C88">
      <w:pPr>
        <w:spacing w:after="160"/>
        <w:jc w:val="both"/>
        <w:rPr>
          <w:kern w:val="2"/>
          <w14:ligatures w14:val="standardContextual"/>
        </w:rPr>
      </w:pPr>
      <w:r>
        <w:rPr>
          <w:sz w:val="24"/>
          <w:szCs w:val="24"/>
        </w:rPr>
        <w:t>All activities and deliverables shall be prepared and implemented in a manner consistent with the applicable requirements set out in the contract and any relevant instructions issued by the Client for this assignment, including appropriate treatment of confidentiality and respondent protection during data collection.</w:t>
      </w:r>
    </w:p>
    <w:p w14:paraId="51E57719" w14:textId="451F16F4"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 xml:space="preserve">Intellectual property rights </w:t>
      </w:r>
      <w:r w:rsidR="00D93585">
        <w:rPr>
          <w:sz w:val="24"/>
          <w:szCs w:val="24"/>
        </w:rPr>
        <w:t xml:space="preserve">over reports, datasets, and other materials produced under this </w:t>
      </w:r>
      <w:proofErr w:type="gramStart"/>
      <w:r w:rsidR="00D93585">
        <w:rPr>
          <w:sz w:val="24"/>
          <w:szCs w:val="24"/>
        </w:rPr>
        <w:t xml:space="preserve">assignment </w:t>
      </w:r>
      <w:r w:rsidRPr="00B360FF">
        <w:rPr>
          <w:rFonts w:eastAsia="Arial"/>
          <w:sz w:val="24"/>
          <w:szCs w:val="24"/>
        </w:rPr>
        <w:t xml:space="preserve"> will</w:t>
      </w:r>
      <w:proofErr w:type="gramEnd"/>
      <w:r w:rsidRPr="00B360FF">
        <w:rPr>
          <w:rFonts w:eastAsia="Arial"/>
          <w:sz w:val="24"/>
          <w:szCs w:val="24"/>
        </w:rPr>
        <w:t xml:space="preserve"> be </w:t>
      </w:r>
      <w:r w:rsidR="00362C28">
        <w:rPr>
          <w:sz w:val="24"/>
          <w:szCs w:val="24"/>
        </w:rPr>
        <w:t>governed</w:t>
      </w:r>
      <w:r w:rsidR="00362C28" w:rsidRPr="00B360FF">
        <w:rPr>
          <w:rFonts w:eastAsia="Arial"/>
          <w:sz w:val="24"/>
          <w:szCs w:val="24"/>
        </w:rPr>
        <w:t xml:space="preserve"> </w:t>
      </w:r>
      <w:r w:rsidR="00362C28">
        <w:rPr>
          <w:rFonts w:eastAsia="Arial"/>
          <w:sz w:val="24"/>
          <w:szCs w:val="24"/>
        </w:rPr>
        <w:t xml:space="preserve">by </w:t>
      </w:r>
      <w:r w:rsidRPr="00D1249C">
        <w:rPr>
          <w:rFonts w:eastAsia="Arial"/>
          <w:sz w:val="24"/>
          <w:szCs w:val="24"/>
        </w:rPr>
        <w:t>the</w:t>
      </w:r>
      <w:r>
        <w:rPr>
          <w:rFonts w:eastAsia="Arial"/>
          <w:sz w:val="24"/>
          <w:szCs w:val="24"/>
        </w:rPr>
        <w:t xml:space="preserve"> </w:t>
      </w:r>
      <w:r w:rsidRPr="00D1249C">
        <w:rPr>
          <w:rFonts w:eastAsia="Arial"/>
          <w:sz w:val="24"/>
          <w:szCs w:val="24"/>
        </w:rPr>
        <w:t>relevant provisions</w:t>
      </w:r>
      <w:r w:rsidR="0083442C">
        <w:rPr>
          <w:rFonts w:eastAsia="Arial"/>
          <w:sz w:val="24"/>
          <w:szCs w:val="24"/>
        </w:rPr>
        <w:t xml:space="preserve"> </w:t>
      </w:r>
      <w:r w:rsidRPr="00B360FF">
        <w:rPr>
          <w:rFonts w:eastAsia="Arial"/>
          <w:sz w:val="24"/>
          <w:szCs w:val="24"/>
        </w:rPr>
        <w:t>of the Contract.</w:t>
      </w:r>
    </w:p>
    <w:p w14:paraId="6B16E7B3" w14:textId="75B6F9DE" w:rsidR="00803213" w:rsidRPr="00B360FF" w:rsidRDefault="00107E4B" w:rsidP="00803213">
      <w:pPr>
        <w:widowControl/>
        <w:autoSpaceDE/>
        <w:autoSpaceDN/>
        <w:spacing w:after="160"/>
        <w:jc w:val="both"/>
        <w:rPr>
          <w:rFonts w:eastAsia="Arial"/>
          <w:sz w:val="24"/>
          <w:szCs w:val="24"/>
        </w:rPr>
      </w:pPr>
      <w:r>
        <w:rPr>
          <w:rFonts w:eastAsia="Arial"/>
          <w:sz w:val="24"/>
          <w:szCs w:val="24"/>
        </w:rPr>
        <w:t>S</w:t>
      </w:r>
      <w:r w:rsidR="00803213" w:rsidRPr="00B360FF">
        <w:rPr>
          <w:rFonts w:eastAsia="Arial"/>
          <w:sz w:val="24"/>
          <w:szCs w:val="24"/>
        </w:rPr>
        <w:t>ubmission of complete documentation in electronic form is mandatory.</w:t>
      </w:r>
    </w:p>
    <w:p w14:paraId="68C3B443" w14:textId="77777777" w:rsidR="00803213" w:rsidRPr="00B360FF" w:rsidRDefault="00803213" w:rsidP="00803213">
      <w:pPr>
        <w:widowControl/>
        <w:autoSpaceDE/>
        <w:autoSpaceDN/>
        <w:spacing w:before="240" w:after="120"/>
        <w:jc w:val="both"/>
        <w:outlineLvl w:val="1"/>
        <w:rPr>
          <w:rFonts w:eastAsia="Arial"/>
          <w:b/>
          <w:bCs/>
          <w:color w:val="000000"/>
          <w:sz w:val="24"/>
          <w:szCs w:val="24"/>
        </w:rPr>
      </w:pPr>
      <w:r w:rsidRPr="00B360FF">
        <w:rPr>
          <w:rFonts w:eastAsia="Arial"/>
          <w:b/>
          <w:bCs/>
          <w:color w:val="000000"/>
          <w:sz w:val="24"/>
          <w:szCs w:val="24"/>
        </w:rPr>
        <w:lastRenderedPageBreak/>
        <w:t>10. Experience and Qualifications Requirements</w:t>
      </w:r>
    </w:p>
    <w:p w14:paraId="36E76075" w14:textId="77777777" w:rsidR="00803213" w:rsidRPr="00B360FF" w:rsidRDefault="00803213" w:rsidP="00803213">
      <w:pPr>
        <w:widowControl/>
        <w:autoSpaceDE/>
        <w:autoSpaceDN/>
        <w:spacing w:before="100" w:beforeAutospacing="1" w:after="100" w:afterAutospacing="1"/>
        <w:jc w:val="both"/>
        <w:rPr>
          <w:sz w:val="24"/>
          <w:szCs w:val="24"/>
        </w:rPr>
      </w:pPr>
      <w:r w:rsidRPr="00B360FF">
        <w:rPr>
          <w:sz w:val="24"/>
          <w:szCs w:val="24"/>
        </w:rPr>
        <w:t>To be considered for this assignment, the Consultant (firm) shall demonstrate relevant experience and propose a multidisciplinary team of experts with qualifications aligned with the scope of services.</w:t>
      </w:r>
    </w:p>
    <w:p w14:paraId="656C347B" w14:textId="77777777" w:rsidR="00803213" w:rsidRPr="00B360FF" w:rsidRDefault="00803213" w:rsidP="00803213">
      <w:pPr>
        <w:widowControl/>
        <w:autoSpaceDE/>
        <w:autoSpaceDN/>
        <w:spacing w:before="100" w:beforeAutospacing="1" w:after="100" w:afterAutospacing="1"/>
        <w:jc w:val="both"/>
        <w:outlineLvl w:val="1"/>
        <w:rPr>
          <w:b/>
          <w:bCs/>
          <w:sz w:val="24"/>
          <w:szCs w:val="24"/>
        </w:rPr>
      </w:pPr>
      <w:r w:rsidRPr="00B360FF">
        <w:rPr>
          <w:b/>
          <w:bCs/>
          <w:sz w:val="24"/>
          <w:szCs w:val="24"/>
        </w:rPr>
        <w:t>A. Consultant (Firm) Qualifications</w:t>
      </w:r>
    </w:p>
    <w:p w14:paraId="03263392" w14:textId="77777777" w:rsidR="00803213" w:rsidRPr="00B360FF" w:rsidRDefault="00803213" w:rsidP="00803213">
      <w:pPr>
        <w:widowControl/>
        <w:autoSpaceDE/>
        <w:autoSpaceDN/>
        <w:spacing w:before="100" w:beforeAutospacing="1" w:after="100" w:afterAutospacing="1"/>
        <w:jc w:val="both"/>
        <w:outlineLvl w:val="2"/>
        <w:rPr>
          <w:b/>
          <w:bCs/>
          <w:sz w:val="24"/>
          <w:szCs w:val="24"/>
        </w:rPr>
      </w:pPr>
      <w:r w:rsidRPr="00B360FF">
        <w:rPr>
          <w:b/>
          <w:bCs/>
          <w:sz w:val="24"/>
          <w:szCs w:val="24"/>
        </w:rPr>
        <w:t>Mandatory qualifications</w:t>
      </w:r>
    </w:p>
    <w:p w14:paraId="6B951631" w14:textId="744EF267" w:rsidR="00803213" w:rsidRPr="00B360FF" w:rsidRDefault="00803213" w:rsidP="00803213">
      <w:pPr>
        <w:widowControl/>
        <w:numPr>
          <w:ilvl w:val="0"/>
          <w:numId w:val="11"/>
        </w:numPr>
        <w:autoSpaceDE/>
        <w:autoSpaceDN/>
        <w:spacing w:before="100" w:beforeAutospacing="1" w:after="100" w:afterAutospacing="1"/>
        <w:contextualSpacing/>
        <w:jc w:val="both"/>
        <w:rPr>
          <w:sz w:val="24"/>
          <w:szCs w:val="24"/>
        </w:rPr>
      </w:pPr>
      <w:r w:rsidRPr="00B360FF">
        <w:rPr>
          <w:sz w:val="24"/>
          <w:szCs w:val="24"/>
        </w:rPr>
        <w:t xml:space="preserve">At least 10 years of experience in conducting analytical assessments, policy </w:t>
      </w:r>
      <w:r w:rsidR="00892DD4">
        <w:rPr>
          <w:sz w:val="24"/>
          <w:szCs w:val="24"/>
        </w:rPr>
        <w:t>evaluations,</w:t>
      </w:r>
      <w:r w:rsidRPr="00B360FF">
        <w:rPr>
          <w:sz w:val="24"/>
          <w:szCs w:val="24"/>
        </w:rPr>
        <w:t xml:space="preserve"> impact studies, or related</w:t>
      </w:r>
      <w:r w:rsidR="00B93E0A" w:rsidRPr="00B93E0A">
        <w:rPr>
          <w:sz w:val="24"/>
          <w:szCs w:val="24"/>
        </w:rPr>
        <w:t xml:space="preserve"> </w:t>
      </w:r>
      <w:r w:rsidR="00B93E0A">
        <w:rPr>
          <w:sz w:val="24"/>
          <w:szCs w:val="24"/>
        </w:rPr>
        <w:t>analytical assignments</w:t>
      </w:r>
      <w:r w:rsidRPr="00B360FF">
        <w:rPr>
          <w:sz w:val="24"/>
          <w:szCs w:val="24"/>
        </w:rPr>
        <w:t>.</w:t>
      </w:r>
    </w:p>
    <w:p w14:paraId="518151CF" w14:textId="77777777" w:rsidR="00803213" w:rsidRPr="00B360FF" w:rsidRDefault="00803213" w:rsidP="00803213">
      <w:pPr>
        <w:widowControl/>
        <w:numPr>
          <w:ilvl w:val="0"/>
          <w:numId w:val="11"/>
        </w:numPr>
        <w:autoSpaceDE/>
        <w:autoSpaceDN/>
        <w:spacing w:before="100" w:beforeAutospacing="1" w:after="100" w:afterAutospacing="1"/>
        <w:contextualSpacing/>
        <w:jc w:val="both"/>
        <w:rPr>
          <w:sz w:val="24"/>
          <w:szCs w:val="24"/>
        </w:rPr>
      </w:pPr>
      <w:r w:rsidRPr="00B360FF">
        <w:rPr>
          <w:sz w:val="24"/>
          <w:szCs w:val="24"/>
        </w:rPr>
        <w:t>Experience in the preparation of strategic plans and policy documents for public institutions, including support to policy design and implementation.</w:t>
      </w:r>
    </w:p>
    <w:p w14:paraId="692C5447" w14:textId="77777777" w:rsidR="00803213" w:rsidRPr="00B360FF" w:rsidRDefault="00803213" w:rsidP="00803213">
      <w:pPr>
        <w:widowControl/>
        <w:numPr>
          <w:ilvl w:val="0"/>
          <w:numId w:val="11"/>
        </w:numPr>
        <w:autoSpaceDE/>
        <w:autoSpaceDN/>
        <w:spacing w:before="100" w:beforeAutospacing="1" w:after="100" w:afterAutospacing="1"/>
        <w:contextualSpacing/>
        <w:jc w:val="both"/>
        <w:rPr>
          <w:sz w:val="24"/>
          <w:szCs w:val="24"/>
        </w:rPr>
      </w:pPr>
      <w:r w:rsidRPr="00B360FF">
        <w:rPr>
          <w:sz w:val="24"/>
          <w:szCs w:val="24"/>
        </w:rPr>
        <w:t>Experience in designing and implementing research assignments involving primary data collection, including surveys, focus group discussions, and/or in-depth interviews.</w:t>
      </w:r>
    </w:p>
    <w:p w14:paraId="64AA1F14" w14:textId="77777777" w:rsidR="00803213" w:rsidRPr="00B360FF" w:rsidRDefault="00803213" w:rsidP="00803213">
      <w:pPr>
        <w:widowControl/>
        <w:numPr>
          <w:ilvl w:val="0"/>
          <w:numId w:val="11"/>
        </w:numPr>
        <w:autoSpaceDE/>
        <w:autoSpaceDN/>
        <w:spacing w:before="100" w:beforeAutospacing="1" w:after="100" w:afterAutospacing="1"/>
        <w:contextualSpacing/>
        <w:jc w:val="both"/>
        <w:rPr>
          <w:sz w:val="24"/>
          <w:szCs w:val="24"/>
        </w:rPr>
      </w:pPr>
      <w:r w:rsidRPr="00B360FF">
        <w:rPr>
          <w:sz w:val="24"/>
          <w:szCs w:val="24"/>
        </w:rPr>
        <w:t>Experience in facilitating stakeholder engagement processes, including consultations with government institutions, donor organizations, private sector actors, and/or civil society representatives.</w:t>
      </w:r>
    </w:p>
    <w:p w14:paraId="554AF62A" w14:textId="77777777" w:rsidR="00F34608" w:rsidRDefault="00F34608" w:rsidP="00D20B63">
      <w:pPr>
        <w:widowControl/>
        <w:numPr>
          <w:ilvl w:val="0"/>
          <w:numId w:val="11"/>
        </w:numPr>
        <w:jc w:val="both"/>
        <w:rPr>
          <w:kern w:val="2"/>
          <w14:ligatures w14:val="standardContextual"/>
        </w:rPr>
      </w:pPr>
      <w:r>
        <w:rPr>
          <w:sz w:val="24"/>
          <w:szCs w:val="24"/>
        </w:rPr>
        <w:t>Demonstrated financial capacity to carry out the assignment, supported by financial statements, balance sheets, or other official financial documentation for the past three years.</w:t>
      </w:r>
    </w:p>
    <w:p w14:paraId="0E7AFE1A" w14:textId="225374CA" w:rsidR="00803213" w:rsidRDefault="00803213" w:rsidP="00803213">
      <w:pPr>
        <w:widowControl/>
        <w:autoSpaceDE/>
        <w:autoSpaceDN/>
        <w:spacing w:before="100" w:beforeAutospacing="1" w:after="100" w:afterAutospacing="1"/>
        <w:jc w:val="both"/>
        <w:outlineLvl w:val="2"/>
        <w:rPr>
          <w:b/>
          <w:bCs/>
          <w:sz w:val="24"/>
          <w:szCs w:val="24"/>
        </w:rPr>
      </w:pPr>
    </w:p>
    <w:p w14:paraId="1F72F39B" w14:textId="77777777" w:rsidR="00803213" w:rsidRPr="00B360FF" w:rsidRDefault="00803213" w:rsidP="00803213">
      <w:pPr>
        <w:widowControl/>
        <w:autoSpaceDE/>
        <w:autoSpaceDN/>
        <w:spacing w:before="100" w:beforeAutospacing="1" w:after="100" w:afterAutospacing="1"/>
        <w:jc w:val="both"/>
        <w:outlineLvl w:val="2"/>
        <w:rPr>
          <w:b/>
          <w:bCs/>
          <w:sz w:val="24"/>
          <w:szCs w:val="24"/>
        </w:rPr>
      </w:pPr>
      <w:r w:rsidRPr="00B360FF">
        <w:rPr>
          <w:b/>
          <w:bCs/>
          <w:sz w:val="24"/>
          <w:szCs w:val="24"/>
        </w:rPr>
        <w:t>Preferred experience (considered an asset)</w:t>
      </w:r>
    </w:p>
    <w:p w14:paraId="6126D0ED" w14:textId="191BD4CE" w:rsidR="0025720B" w:rsidRPr="00B360FF" w:rsidRDefault="0025720B" w:rsidP="00803213">
      <w:pPr>
        <w:widowControl/>
        <w:numPr>
          <w:ilvl w:val="0"/>
          <w:numId w:val="12"/>
        </w:numPr>
        <w:autoSpaceDE/>
        <w:autoSpaceDN/>
        <w:spacing w:before="100" w:beforeAutospacing="1" w:after="100" w:afterAutospacing="1"/>
        <w:contextualSpacing/>
        <w:jc w:val="both"/>
        <w:rPr>
          <w:sz w:val="24"/>
          <w:szCs w:val="24"/>
        </w:rPr>
      </w:pPr>
      <w:r w:rsidRPr="0025720B">
        <w:rPr>
          <w:sz w:val="24"/>
          <w:szCs w:val="24"/>
        </w:rPr>
        <w:t>Experience in developing conceptual and analytical frameworks for behavioral analysis, decision-making modeling, or producer segmentation/typology studies.</w:t>
      </w:r>
    </w:p>
    <w:p w14:paraId="2797F9FF" w14:textId="77777777" w:rsidR="00803213" w:rsidRPr="00B360FF" w:rsidRDefault="00803213" w:rsidP="00803213">
      <w:pPr>
        <w:widowControl/>
        <w:numPr>
          <w:ilvl w:val="0"/>
          <w:numId w:val="12"/>
        </w:numPr>
        <w:autoSpaceDE/>
        <w:autoSpaceDN/>
        <w:spacing w:before="100" w:beforeAutospacing="1" w:after="100" w:afterAutospacing="1"/>
        <w:contextualSpacing/>
        <w:jc w:val="both"/>
        <w:rPr>
          <w:sz w:val="24"/>
          <w:szCs w:val="24"/>
        </w:rPr>
      </w:pPr>
      <w:r w:rsidRPr="00B360FF">
        <w:rPr>
          <w:sz w:val="24"/>
          <w:szCs w:val="24"/>
        </w:rPr>
        <w:lastRenderedPageBreak/>
        <w:t>Experience in conducting market or business analyses.</w:t>
      </w:r>
    </w:p>
    <w:p w14:paraId="5113E795" w14:textId="64F25A67" w:rsidR="0025720B" w:rsidRPr="00B360FF" w:rsidRDefault="0025720B" w:rsidP="00803213">
      <w:pPr>
        <w:widowControl/>
        <w:numPr>
          <w:ilvl w:val="0"/>
          <w:numId w:val="12"/>
        </w:numPr>
        <w:autoSpaceDE/>
        <w:autoSpaceDN/>
        <w:spacing w:before="100" w:beforeAutospacing="1" w:after="100" w:afterAutospacing="1"/>
        <w:contextualSpacing/>
        <w:jc w:val="both"/>
        <w:rPr>
          <w:sz w:val="24"/>
          <w:szCs w:val="24"/>
        </w:rPr>
      </w:pPr>
      <w:r w:rsidRPr="0025720B">
        <w:rPr>
          <w:sz w:val="24"/>
          <w:szCs w:val="24"/>
        </w:rPr>
        <w:t>Experience in working on projects financed by international financial institutions and/or development partners, such as the World Bank (WB), the European Union (including IPA/IPARD instruments), the European Bank for Reconstruction and Development (EBRD), the Food and Agriculture Organization (FAO), the International Fund for Agricultural Development (IFAD), the European Investment Bank (EIB), GIZ, USAID, UNDP, or similar.</w:t>
      </w:r>
    </w:p>
    <w:p w14:paraId="5511C7AA" w14:textId="71D767D5" w:rsidR="00803213" w:rsidRPr="00B360FF" w:rsidRDefault="0025720B" w:rsidP="00B66716">
      <w:pPr>
        <w:widowControl/>
        <w:numPr>
          <w:ilvl w:val="0"/>
          <w:numId w:val="12"/>
        </w:numPr>
        <w:autoSpaceDE/>
        <w:autoSpaceDN/>
        <w:spacing w:before="100" w:beforeAutospacing="1" w:after="100" w:afterAutospacing="1"/>
        <w:contextualSpacing/>
        <w:jc w:val="both"/>
        <w:rPr>
          <w:b/>
          <w:bCs/>
        </w:rPr>
      </w:pPr>
      <w:r w:rsidRPr="00B66716">
        <w:rPr>
          <w:sz w:val="24"/>
          <w:szCs w:val="24"/>
        </w:rPr>
        <w:t>Experience in conducting stakeholder consultations in the agricultural and rural development sector, including engagement with primary producers, agricultural advisory services, financial institutions, and value chain actors (processors, traders, and/or input suppliers).</w:t>
      </w:r>
    </w:p>
    <w:p w14:paraId="753435B1" w14:textId="77777777" w:rsidR="009602F4" w:rsidRDefault="009602F4" w:rsidP="009602F4">
      <w:pPr>
        <w:widowControl/>
        <w:autoSpaceDE/>
        <w:autoSpaceDN/>
        <w:spacing w:before="100" w:beforeAutospacing="1" w:after="100" w:afterAutospacing="1"/>
        <w:jc w:val="both"/>
        <w:rPr>
          <w:b/>
          <w:bCs/>
          <w:sz w:val="24"/>
          <w:szCs w:val="24"/>
        </w:rPr>
      </w:pPr>
    </w:p>
    <w:p w14:paraId="2625B7ED" w14:textId="7934AF40" w:rsidR="00803213" w:rsidRPr="00B360FF" w:rsidRDefault="00803213" w:rsidP="00803213">
      <w:pPr>
        <w:widowControl/>
        <w:autoSpaceDE/>
        <w:autoSpaceDN/>
        <w:spacing w:before="100" w:beforeAutospacing="1" w:after="100" w:afterAutospacing="1"/>
        <w:jc w:val="both"/>
        <w:rPr>
          <w:b/>
          <w:bCs/>
          <w:sz w:val="24"/>
          <w:szCs w:val="24"/>
        </w:rPr>
      </w:pPr>
      <w:r w:rsidRPr="00B360FF">
        <w:rPr>
          <w:b/>
          <w:bCs/>
          <w:sz w:val="24"/>
          <w:szCs w:val="24"/>
        </w:rPr>
        <w:t>Evidence of compliance</w:t>
      </w:r>
    </w:p>
    <w:p w14:paraId="100DB98C" w14:textId="77777777" w:rsidR="00803213" w:rsidRPr="00B360FF" w:rsidRDefault="00803213" w:rsidP="00803213">
      <w:pPr>
        <w:widowControl/>
        <w:autoSpaceDE/>
        <w:autoSpaceDN/>
        <w:spacing w:before="100" w:beforeAutospacing="1" w:after="100" w:afterAutospacing="1"/>
        <w:jc w:val="both"/>
        <w:rPr>
          <w:sz w:val="24"/>
          <w:szCs w:val="24"/>
        </w:rPr>
      </w:pPr>
      <w:r w:rsidRPr="00B360FF">
        <w:rPr>
          <w:sz w:val="24"/>
          <w:szCs w:val="24"/>
        </w:rPr>
        <w:t xml:space="preserve">The </w:t>
      </w:r>
      <w:r w:rsidRPr="00D1249C">
        <w:rPr>
          <w:sz w:val="24"/>
          <w:szCs w:val="24"/>
        </w:rPr>
        <w:t>Consultant</w:t>
      </w:r>
      <w:r>
        <w:rPr>
          <w:sz w:val="24"/>
          <w:szCs w:val="24"/>
        </w:rPr>
        <w:t xml:space="preserve"> </w:t>
      </w:r>
      <w:r w:rsidRPr="00B360FF">
        <w:rPr>
          <w:sz w:val="24"/>
          <w:szCs w:val="24"/>
        </w:rPr>
        <w:t>shall provide documentary evidence demonstrating compliance with the above requirements.</w:t>
      </w:r>
    </w:p>
    <w:p w14:paraId="7993D70B" w14:textId="77777777" w:rsidR="00803213" w:rsidRPr="00B360FF" w:rsidRDefault="00803213" w:rsidP="00803213">
      <w:pPr>
        <w:widowControl/>
        <w:autoSpaceDE/>
        <w:autoSpaceDN/>
        <w:spacing w:before="100" w:beforeAutospacing="1" w:after="100" w:afterAutospacing="1"/>
        <w:jc w:val="both"/>
        <w:rPr>
          <w:sz w:val="24"/>
          <w:szCs w:val="24"/>
        </w:rPr>
      </w:pPr>
      <w:r w:rsidRPr="00B360FF">
        <w:rPr>
          <w:sz w:val="24"/>
          <w:szCs w:val="24"/>
        </w:rPr>
        <w:t xml:space="preserve">For experience-related criteria, the </w:t>
      </w:r>
      <w:r w:rsidRPr="00D1249C">
        <w:rPr>
          <w:sz w:val="24"/>
          <w:szCs w:val="24"/>
        </w:rPr>
        <w:t>Consultant</w:t>
      </w:r>
      <w:r>
        <w:rPr>
          <w:sz w:val="24"/>
          <w:szCs w:val="24"/>
        </w:rPr>
        <w:t xml:space="preserve"> </w:t>
      </w:r>
      <w:r w:rsidRPr="00B360FF">
        <w:rPr>
          <w:sz w:val="24"/>
          <w:szCs w:val="24"/>
        </w:rPr>
        <w:t>shall submit:</w:t>
      </w:r>
    </w:p>
    <w:p w14:paraId="37ADC120" w14:textId="77777777" w:rsidR="00803213" w:rsidRPr="00B360FF" w:rsidRDefault="00803213" w:rsidP="00803213">
      <w:pPr>
        <w:widowControl/>
        <w:numPr>
          <w:ilvl w:val="0"/>
          <w:numId w:val="8"/>
        </w:numPr>
        <w:autoSpaceDE/>
        <w:autoSpaceDN/>
        <w:spacing w:before="100" w:beforeAutospacing="1" w:after="100" w:afterAutospacing="1"/>
        <w:jc w:val="both"/>
        <w:rPr>
          <w:sz w:val="24"/>
          <w:szCs w:val="24"/>
        </w:rPr>
      </w:pPr>
      <w:r w:rsidRPr="00B360FF">
        <w:rPr>
          <w:sz w:val="24"/>
          <w:szCs w:val="24"/>
        </w:rPr>
        <w:t>A reference list including: client name, assignment title, country, implementation period, and brief description of services provided; and</w:t>
      </w:r>
    </w:p>
    <w:p w14:paraId="1FD6B37B" w14:textId="77777777" w:rsidR="00803213" w:rsidRPr="00B360FF" w:rsidRDefault="00803213" w:rsidP="00803213">
      <w:pPr>
        <w:widowControl/>
        <w:numPr>
          <w:ilvl w:val="0"/>
          <w:numId w:val="8"/>
        </w:numPr>
        <w:autoSpaceDE/>
        <w:autoSpaceDN/>
        <w:spacing w:before="100" w:beforeAutospacing="1" w:after="100" w:afterAutospacing="1"/>
        <w:jc w:val="both"/>
        <w:rPr>
          <w:sz w:val="24"/>
          <w:szCs w:val="24"/>
        </w:rPr>
      </w:pPr>
      <w:r w:rsidRPr="00B360FF">
        <w:rPr>
          <w:sz w:val="24"/>
          <w:szCs w:val="24"/>
        </w:rPr>
        <w:t>For each reference, at least one of the following supporting documents:</w:t>
      </w:r>
    </w:p>
    <w:p w14:paraId="0AB03AC5" w14:textId="77777777" w:rsidR="00803213" w:rsidRPr="00B360FF" w:rsidRDefault="00803213" w:rsidP="00803213">
      <w:pPr>
        <w:widowControl/>
        <w:numPr>
          <w:ilvl w:val="1"/>
          <w:numId w:val="8"/>
        </w:numPr>
        <w:autoSpaceDE/>
        <w:autoSpaceDN/>
        <w:spacing w:before="100" w:beforeAutospacing="1" w:after="100" w:afterAutospacing="1"/>
        <w:jc w:val="both"/>
        <w:rPr>
          <w:sz w:val="24"/>
          <w:szCs w:val="24"/>
        </w:rPr>
      </w:pPr>
      <w:r w:rsidRPr="00B360FF">
        <w:rPr>
          <w:sz w:val="24"/>
          <w:szCs w:val="24"/>
        </w:rPr>
        <w:t>client reference letter;</w:t>
      </w:r>
    </w:p>
    <w:p w14:paraId="25CB5D2D" w14:textId="77777777" w:rsidR="00803213" w:rsidRPr="00B360FF" w:rsidRDefault="00803213" w:rsidP="00803213">
      <w:pPr>
        <w:widowControl/>
        <w:numPr>
          <w:ilvl w:val="1"/>
          <w:numId w:val="8"/>
        </w:numPr>
        <w:autoSpaceDE/>
        <w:autoSpaceDN/>
        <w:spacing w:before="100" w:beforeAutospacing="1" w:after="100" w:afterAutospacing="1"/>
        <w:jc w:val="both"/>
        <w:rPr>
          <w:sz w:val="24"/>
          <w:szCs w:val="24"/>
        </w:rPr>
      </w:pPr>
      <w:r w:rsidRPr="00B360FF">
        <w:rPr>
          <w:sz w:val="24"/>
          <w:szCs w:val="24"/>
        </w:rPr>
        <w:t>certificate of completion or acceptance;</w:t>
      </w:r>
    </w:p>
    <w:p w14:paraId="05C25760" w14:textId="77777777" w:rsidR="00803213" w:rsidRPr="00B360FF" w:rsidRDefault="00803213" w:rsidP="00803213">
      <w:pPr>
        <w:widowControl/>
        <w:numPr>
          <w:ilvl w:val="1"/>
          <w:numId w:val="8"/>
        </w:numPr>
        <w:autoSpaceDE/>
        <w:autoSpaceDN/>
        <w:spacing w:before="100" w:beforeAutospacing="1" w:after="100" w:afterAutospacing="1"/>
        <w:jc w:val="both"/>
        <w:rPr>
          <w:sz w:val="24"/>
          <w:szCs w:val="24"/>
        </w:rPr>
      </w:pPr>
      <w:r w:rsidRPr="00B360FF">
        <w:rPr>
          <w:sz w:val="24"/>
          <w:szCs w:val="24"/>
        </w:rPr>
        <w:t>signed contract and/or purchase order;</w:t>
      </w:r>
    </w:p>
    <w:p w14:paraId="0B9EB10E" w14:textId="77777777" w:rsidR="00803213" w:rsidRPr="00B360FF" w:rsidRDefault="00803213" w:rsidP="00803213">
      <w:pPr>
        <w:widowControl/>
        <w:numPr>
          <w:ilvl w:val="1"/>
          <w:numId w:val="8"/>
        </w:numPr>
        <w:autoSpaceDE/>
        <w:autoSpaceDN/>
        <w:spacing w:before="100" w:beforeAutospacing="1" w:after="100" w:afterAutospacing="1"/>
        <w:jc w:val="both"/>
        <w:rPr>
          <w:sz w:val="24"/>
          <w:szCs w:val="24"/>
        </w:rPr>
      </w:pPr>
      <w:r w:rsidRPr="00B360FF">
        <w:rPr>
          <w:sz w:val="24"/>
          <w:szCs w:val="24"/>
        </w:rPr>
        <w:t>final report or other approved deliverable;</w:t>
      </w:r>
    </w:p>
    <w:p w14:paraId="61FB1BE2" w14:textId="77777777" w:rsidR="00803213" w:rsidRPr="00B360FF" w:rsidRDefault="00803213" w:rsidP="00803213">
      <w:pPr>
        <w:widowControl/>
        <w:numPr>
          <w:ilvl w:val="1"/>
          <w:numId w:val="8"/>
        </w:numPr>
        <w:autoSpaceDE/>
        <w:autoSpaceDN/>
        <w:spacing w:before="100" w:beforeAutospacing="1" w:after="100" w:afterAutospacing="1"/>
        <w:jc w:val="both"/>
        <w:rPr>
          <w:sz w:val="24"/>
          <w:szCs w:val="24"/>
        </w:rPr>
      </w:pPr>
      <w:r w:rsidRPr="00B360FF">
        <w:rPr>
          <w:sz w:val="24"/>
          <w:szCs w:val="24"/>
        </w:rPr>
        <w:t>other documentation demonstrating that the services were performed.</w:t>
      </w:r>
    </w:p>
    <w:p w14:paraId="796996F9" w14:textId="77777777" w:rsidR="00803213" w:rsidRPr="00B360FF" w:rsidRDefault="00803213" w:rsidP="00803213">
      <w:pPr>
        <w:widowControl/>
        <w:autoSpaceDE/>
        <w:autoSpaceDN/>
        <w:spacing w:before="100" w:beforeAutospacing="1" w:after="100" w:afterAutospacing="1"/>
        <w:jc w:val="both"/>
        <w:rPr>
          <w:sz w:val="24"/>
          <w:szCs w:val="24"/>
        </w:rPr>
      </w:pPr>
      <w:r w:rsidRPr="00B360FF">
        <w:rPr>
          <w:sz w:val="24"/>
          <w:szCs w:val="24"/>
        </w:rPr>
        <w:t xml:space="preserve">For financial capacity, the </w:t>
      </w:r>
      <w:r w:rsidRPr="00D1249C">
        <w:rPr>
          <w:sz w:val="24"/>
          <w:szCs w:val="24"/>
        </w:rPr>
        <w:t>Consultant</w:t>
      </w:r>
      <w:r>
        <w:rPr>
          <w:sz w:val="24"/>
          <w:szCs w:val="24"/>
        </w:rPr>
        <w:t xml:space="preserve"> </w:t>
      </w:r>
      <w:r w:rsidRPr="00B360FF">
        <w:rPr>
          <w:sz w:val="24"/>
          <w:szCs w:val="24"/>
        </w:rPr>
        <w:t>shall submit:</w:t>
      </w:r>
    </w:p>
    <w:p w14:paraId="62D1C18C" w14:textId="77777777" w:rsidR="00803213" w:rsidRPr="00B360FF" w:rsidRDefault="00803213" w:rsidP="00803213">
      <w:pPr>
        <w:widowControl/>
        <w:numPr>
          <w:ilvl w:val="0"/>
          <w:numId w:val="9"/>
        </w:numPr>
        <w:autoSpaceDE/>
        <w:autoSpaceDN/>
        <w:spacing w:before="100" w:beforeAutospacing="1" w:after="100" w:afterAutospacing="1"/>
        <w:jc w:val="both"/>
        <w:rPr>
          <w:sz w:val="24"/>
          <w:szCs w:val="24"/>
        </w:rPr>
      </w:pPr>
      <w:r w:rsidRPr="00B360FF">
        <w:rPr>
          <w:sz w:val="24"/>
          <w:szCs w:val="24"/>
        </w:rPr>
        <w:lastRenderedPageBreak/>
        <w:t>Financial statements, balance sheets, or official financial reports for the last three years; or</w:t>
      </w:r>
    </w:p>
    <w:p w14:paraId="23FAF1B3" w14:textId="77777777" w:rsidR="00803213" w:rsidRPr="00B360FF" w:rsidRDefault="00803213" w:rsidP="00803213">
      <w:pPr>
        <w:widowControl/>
        <w:numPr>
          <w:ilvl w:val="0"/>
          <w:numId w:val="9"/>
        </w:numPr>
        <w:autoSpaceDE/>
        <w:autoSpaceDN/>
        <w:spacing w:before="100" w:beforeAutospacing="1" w:after="100" w:afterAutospacing="1"/>
        <w:jc w:val="both"/>
        <w:rPr>
          <w:sz w:val="24"/>
          <w:szCs w:val="24"/>
        </w:rPr>
      </w:pPr>
      <w:r w:rsidRPr="00B360FF">
        <w:rPr>
          <w:sz w:val="24"/>
          <w:szCs w:val="24"/>
        </w:rPr>
        <w:t>Auditor’s certificate or certificate issued by a certified accountant.</w:t>
      </w:r>
    </w:p>
    <w:p w14:paraId="2DDA796B" w14:textId="0C88B5D4" w:rsidR="00803213" w:rsidRPr="00B66716" w:rsidRDefault="00803213" w:rsidP="00B66716">
      <w:pPr>
        <w:widowControl/>
        <w:autoSpaceDE/>
        <w:autoSpaceDN/>
        <w:spacing w:before="100" w:beforeAutospacing="1" w:after="100" w:afterAutospacing="1"/>
        <w:jc w:val="both"/>
        <w:rPr>
          <w:sz w:val="24"/>
          <w:szCs w:val="24"/>
        </w:rPr>
      </w:pPr>
      <w:r w:rsidRPr="00B360FF">
        <w:rPr>
          <w:sz w:val="24"/>
          <w:szCs w:val="24"/>
        </w:rPr>
        <w:t>The Contracting Authority reserves the right to verify submitted references.</w:t>
      </w:r>
    </w:p>
    <w:p w14:paraId="3170CC2C" w14:textId="77777777" w:rsidR="00803213" w:rsidRPr="00B360FF" w:rsidRDefault="00803213" w:rsidP="00803213">
      <w:pPr>
        <w:widowControl/>
        <w:autoSpaceDE/>
        <w:autoSpaceDN/>
        <w:spacing w:before="100" w:beforeAutospacing="1" w:after="100" w:afterAutospacing="1"/>
        <w:jc w:val="both"/>
        <w:outlineLvl w:val="1"/>
        <w:rPr>
          <w:b/>
          <w:bCs/>
          <w:sz w:val="24"/>
          <w:szCs w:val="24"/>
        </w:rPr>
      </w:pPr>
      <w:r w:rsidRPr="00B360FF">
        <w:rPr>
          <w:b/>
          <w:bCs/>
          <w:sz w:val="24"/>
          <w:szCs w:val="24"/>
        </w:rPr>
        <w:t>B. Key Experts</w:t>
      </w:r>
    </w:p>
    <w:p w14:paraId="4F5586B4" w14:textId="77777777" w:rsidR="00803213" w:rsidRPr="00B360FF" w:rsidRDefault="00803213" w:rsidP="00803213">
      <w:pPr>
        <w:widowControl/>
        <w:autoSpaceDE/>
        <w:autoSpaceDN/>
        <w:spacing w:before="100" w:beforeAutospacing="1" w:after="100" w:afterAutospacing="1"/>
        <w:jc w:val="both"/>
        <w:rPr>
          <w:sz w:val="24"/>
          <w:szCs w:val="24"/>
        </w:rPr>
      </w:pPr>
      <w:r w:rsidRPr="00B360FF">
        <w:rPr>
          <w:sz w:val="24"/>
          <w:szCs w:val="24"/>
        </w:rPr>
        <w:t>The Consultant shall propose the following key experts:</w:t>
      </w:r>
    </w:p>
    <w:p w14:paraId="1F1D959D" w14:textId="77777777" w:rsidR="00803213" w:rsidRPr="00B360FF" w:rsidRDefault="00803213" w:rsidP="00803213">
      <w:pPr>
        <w:widowControl/>
        <w:autoSpaceDE/>
        <w:autoSpaceDN/>
        <w:spacing w:before="100" w:beforeAutospacing="1" w:after="100" w:afterAutospacing="1"/>
        <w:jc w:val="both"/>
        <w:outlineLvl w:val="2"/>
        <w:rPr>
          <w:b/>
          <w:bCs/>
          <w:sz w:val="24"/>
          <w:szCs w:val="24"/>
        </w:rPr>
      </w:pPr>
      <w:r w:rsidRPr="00B360FF">
        <w:rPr>
          <w:b/>
          <w:bCs/>
          <w:sz w:val="24"/>
          <w:szCs w:val="24"/>
        </w:rPr>
        <w:t>Key Expert 1: Coordinator / Project Manager</w:t>
      </w:r>
    </w:p>
    <w:p w14:paraId="4D0162EE" w14:textId="79D4B249" w:rsidR="00803213" w:rsidRPr="00B360FF" w:rsidRDefault="00F84E3B" w:rsidP="00803213">
      <w:pPr>
        <w:widowControl/>
        <w:numPr>
          <w:ilvl w:val="0"/>
          <w:numId w:val="13"/>
        </w:numPr>
        <w:autoSpaceDE/>
        <w:autoSpaceDN/>
        <w:spacing w:before="100" w:beforeAutospacing="1" w:after="100" w:afterAutospacing="1"/>
        <w:contextualSpacing/>
        <w:jc w:val="both"/>
        <w:rPr>
          <w:sz w:val="24"/>
          <w:szCs w:val="24"/>
        </w:rPr>
      </w:pPr>
      <w:r>
        <w:rPr>
          <w:sz w:val="24"/>
          <w:szCs w:val="24"/>
        </w:rPr>
        <w:t>Advanced</w:t>
      </w:r>
      <w:r w:rsidRPr="00B360FF">
        <w:rPr>
          <w:sz w:val="24"/>
          <w:szCs w:val="24"/>
        </w:rPr>
        <w:t xml:space="preserve"> </w:t>
      </w:r>
      <w:r w:rsidR="003C57A6">
        <w:rPr>
          <w:sz w:val="24"/>
          <w:szCs w:val="24"/>
        </w:rPr>
        <w:t xml:space="preserve">university degree </w:t>
      </w:r>
      <w:r w:rsidR="00803213" w:rsidRPr="00B360FF">
        <w:rPr>
          <w:sz w:val="24"/>
          <w:szCs w:val="24"/>
        </w:rPr>
        <w:t>(Master’s degree preferred), in project management</w:t>
      </w:r>
      <w:r w:rsidR="00B94B0A">
        <w:rPr>
          <w:sz w:val="24"/>
          <w:szCs w:val="24"/>
        </w:rPr>
        <w:t>,</w:t>
      </w:r>
      <w:r w:rsidR="00803213" w:rsidRPr="00B360FF">
        <w:rPr>
          <w:sz w:val="24"/>
          <w:szCs w:val="24"/>
        </w:rPr>
        <w:t xml:space="preserve"> </w:t>
      </w:r>
      <w:r w:rsidR="00B94B0A">
        <w:rPr>
          <w:sz w:val="24"/>
          <w:szCs w:val="24"/>
        </w:rPr>
        <w:t>economics, public policy, agriculture, social sciences</w:t>
      </w:r>
      <w:r w:rsidR="00B94B0A" w:rsidRPr="00B360FF">
        <w:rPr>
          <w:sz w:val="24"/>
          <w:szCs w:val="24"/>
        </w:rPr>
        <w:t xml:space="preserve"> </w:t>
      </w:r>
      <w:r w:rsidR="00803213" w:rsidRPr="00B360FF">
        <w:rPr>
          <w:sz w:val="24"/>
          <w:szCs w:val="24"/>
        </w:rPr>
        <w:t>or related field.</w:t>
      </w:r>
    </w:p>
    <w:p w14:paraId="493D1575" w14:textId="227FF53B" w:rsidR="00803213" w:rsidRPr="00B360FF" w:rsidRDefault="00452AC0" w:rsidP="00803213">
      <w:pPr>
        <w:widowControl/>
        <w:numPr>
          <w:ilvl w:val="0"/>
          <w:numId w:val="13"/>
        </w:numPr>
        <w:autoSpaceDE/>
        <w:autoSpaceDN/>
        <w:spacing w:before="100" w:beforeAutospacing="1" w:after="100" w:afterAutospacing="1"/>
        <w:contextualSpacing/>
        <w:jc w:val="both"/>
        <w:rPr>
          <w:sz w:val="24"/>
          <w:szCs w:val="24"/>
        </w:rPr>
      </w:pPr>
      <w:r>
        <w:rPr>
          <w:sz w:val="24"/>
          <w:szCs w:val="24"/>
        </w:rPr>
        <w:t>At least 8 years of relevant professional e</w:t>
      </w:r>
      <w:r w:rsidR="00803213" w:rsidRPr="00B360FF">
        <w:rPr>
          <w:sz w:val="24"/>
          <w:szCs w:val="24"/>
        </w:rPr>
        <w:t xml:space="preserve">xperience in </w:t>
      </w:r>
      <w:r w:rsidR="000B2E97">
        <w:rPr>
          <w:sz w:val="24"/>
          <w:szCs w:val="24"/>
        </w:rPr>
        <w:t xml:space="preserve">project management, consulting, research, or advisory assignments </w:t>
      </w:r>
      <w:r w:rsidR="00CF6520" w:rsidRPr="00B360FF">
        <w:rPr>
          <w:sz w:val="24"/>
          <w:szCs w:val="24"/>
        </w:rPr>
        <w:t xml:space="preserve">in Serbia </w:t>
      </w:r>
      <w:r w:rsidR="000B2E97">
        <w:rPr>
          <w:sz w:val="24"/>
          <w:szCs w:val="24"/>
        </w:rPr>
        <w:t xml:space="preserve">relevant to this </w:t>
      </w:r>
      <w:proofErr w:type="spellStart"/>
      <w:proofErr w:type="gramStart"/>
      <w:r w:rsidR="000B2E97">
        <w:rPr>
          <w:sz w:val="24"/>
          <w:szCs w:val="24"/>
        </w:rPr>
        <w:t>ToR</w:t>
      </w:r>
      <w:proofErr w:type="spellEnd"/>
      <w:r w:rsidR="00F22337">
        <w:rPr>
          <w:sz w:val="24"/>
          <w:szCs w:val="24"/>
        </w:rPr>
        <w:t xml:space="preserve"> </w:t>
      </w:r>
      <w:r w:rsidR="00803213" w:rsidRPr="00B360FF">
        <w:rPr>
          <w:sz w:val="24"/>
          <w:szCs w:val="24"/>
        </w:rPr>
        <w:t>.</w:t>
      </w:r>
      <w:proofErr w:type="gramEnd"/>
    </w:p>
    <w:p w14:paraId="476D10E8" w14:textId="029FC43A" w:rsidR="00803213" w:rsidRPr="00B360FF" w:rsidRDefault="00D85BDF" w:rsidP="00803213">
      <w:pPr>
        <w:widowControl/>
        <w:numPr>
          <w:ilvl w:val="0"/>
          <w:numId w:val="13"/>
        </w:numPr>
        <w:autoSpaceDE/>
        <w:autoSpaceDN/>
        <w:spacing w:before="100" w:beforeAutospacing="1" w:after="100" w:afterAutospacing="1"/>
        <w:contextualSpacing/>
        <w:jc w:val="both"/>
        <w:rPr>
          <w:sz w:val="24"/>
          <w:szCs w:val="24"/>
        </w:rPr>
      </w:pPr>
      <w:r>
        <w:rPr>
          <w:sz w:val="24"/>
          <w:szCs w:val="24"/>
        </w:rPr>
        <w:t xml:space="preserve">Demonstrated </w:t>
      </w:r>
      <w:r w:rsidR="001850B8">
        <w:rPr>
          <w:sz w:val="24"/>
          <w:szCs w:val="24"/>
        </w:rPr>
        <w:t>e</w:t>
      </w:r>
      <w:r w:rsidR="00803213" w:rsidRPr="00B360FF">
        <w:rPr>
          <w:sz w:val="24"/>
          <w:szCs w:val="24"/>
        </w:rPr>
        <w:t xml:space="preserve">xperience in </w:t>
      </w:r>
      <w:r w:rsidR="00B50A72">
        <w:rPr>
          <w:sz w:val="24"/>
          <w:szCs w:val="24"/>
        </w:rPr>
        <w:t>managing or coordinating analytical, research, or advisory assignments of comparable complexity</w:t>
      </w:r>
      <w:r w:rsidR="00803213" w:rsidRPr="00B360FF">
        <w:rPr>
          <w:sz w:val="24"/>
          <w:szCs w:val="24"/>
        </w:rPr>
        <w:t xml:space="preserve">, including management of at </w:t>
      </w:r>
      <w:r w:rsidR="00803213" w:rsidRPr="00B66716">
        <w:rPr>
          <w:sz w:val="24"/>
          <w:szCs w:val="24"/>
        </w:rPr>
        <w:t xml:space="preserve">least </w:t>
      </w:r>
      <w:r w:rsidR="0025720B" w:rsidRPr="00B66716">
        <w:rPr>
          <w:sz w:val="24"/>
          <w:szCs w:val="24"/>
        </w:rPr>
        <w:t>5 p</w:t>
      </w:r>
      <w:r w:rsidR="00803213" w:rsidRPr="00B66716">
        <w:rPr>
          <w:sz w:val="24"/>
          <w:szCs w:val="24"/>
        </w:rPr>
        <w:t>rojects</w:t>
      </w:r>
      <w:r w:rsidR="00803213" w:rsidRPr="00B360FF">
        <w:rPr>
          <w:sz w:val="24"/>
          <w:szCs w:val="24"/>
        </w:rPr>
        <w:t xml:space="preserve"> in Serbia.</w:t>
      </w:r>
    </w:p>
    <w:p w14:paraId="3E2E613C" w14:textId="5F317588"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 xml:space="preserve">Experience </w:t>
      </w:r>
      <w:proofErr w:type="gramStart"/>
      <w:r w:rsidRPr="00B360FF">
        <w:rPr>
          <w:sz w:val="24"/>
          <w:szCs w:val="24"/>
        </w:rPr>
        <w:t xml:space="preserve">working  </w:t>
      </w:r>
      <w:r w:rsidR="001525B4">
        <w:rPr>
          <w:sz w:val="24"/>
          <w:szCs w:val="24"/>
        </w:rPr>
        <w:t>on</w:t>
      </w:r>
      <w:proofErr w:type="gramEnd"/>
      <w:r w:rsidR="001525B4">
        <w:rPr>
          <w:sz w:val="24"/>
          <w:szCs w:val="24"/>
        </w:rPr>
        <w:t xml:space="preserve"> assignments financed by </w:t>
      </w:r>
      <w:r w:rsidRPr="00B360FF">
        <w:rPr>
          <w:sz w:val="24"/>
          <w:szCs w:val="24"/>
        </w:rPr>
        <w:t xml:space="preserve">international organizations, </w:t>
      </w:r>
      <w:r w:rsidR="001525B4">
        <w:rPr>
          <w:sz w:val="24"/>
          <w:szCs w:val="24"/>
        </w:rPr>
        <w:t>development partners, or public institutions</w:t>
      </w:r>
      <w:r w:rsidR="00701DBD">
        <w:rPr>
          <w:sz w:val="24"/>
          <w:szCs w:val="24"/>
        </w:rPr>
        <w:t>,</w:t>
      </w:r>
      <w:r w:rsidR="001525B4">
        <w:rPr>
          <w:sz w:val="24"/>
          <w:szCs w:val="24"/>
        </w:rPr>
        <w:t xml:space="preserve"> </w:t>
      </w:r>
      <w:r w:rsidRPr="00B360FF">
        <w:rPr>
          <w:sz w:val="24"/>
          <w:szCs w:val="24"/>
        </w:rPr>
        <w:t>preferably including participation in at least one project funded by an international organization within the past five years</w:t>
      </w:r>
      <w:r w:rsidR="00701DBD" w:rsidRPr="00701DBD">
        <w:rPr>
          <w:sz w:val="24"/>
          <w:szCs w:val="24"/>
        </w:rPr>
        <w:t xml:space="preserve"> </w:t>
      </w:r>
      <w:r w:rsidR="00701DBD">
        <w:rPr>
          <w:sz w:val="24"/>
          <w:szCs w:val="24"/>
        </w:rPr>
        <w:t>will be considered an asset</w:t>
      </w:r>
      <w:r w:rsidRPr="00B360FF">
        <w:rPr>
          <w:sz w:val="24"/>
          <w:szCs w:val="24"/>
        </w:rPr>
        <w:t>.</w:t>
      </w:r>
    </w:p>
    <w:p w14:paraId="1455032E" w14:textId="7777777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Experience in conducting or coordinating assignments involving primary data collection, including focus group discussions, in-depth interviews, and/or stakeholder consultations.</w:t>
      </w:r>
    </w:p>
    <w:p w14:paraId="1C67C106" w14:textId="7777777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PMP certification or equivalent, will be considered as an asset.</w:t>
      </w:r>
    </w:p>
    <w:p w14:paraId="5364B754" w14:textId="4114FF93"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 xml:space="preserve">Experience in coordinating analytical or research-based </w:t>
      </w:r>
      <w:r w:rsidR="00372701" w:rsidRPr="00B360FF">
        <w:rPr>
          <w:sz w:val="24"/>
          <w:szCs w:val="24"/>
        </w:rPr>
        <w:t>assignments</w:t>
      </w:r>
      <w:r w:rsidRPr="00B360FF">
        <w:rPr>
          <w:sz w:val="24"/>
          <w:szCs w:val="24"/>
        </w:rPr>
        <w:t xml:space="preserve"> will be considered as an asset.</w:t>
      </w:r>
    </w:p>
    <w:p w14:paraId="59D9FB8A" w14:textId="7777777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Fluency in English and Serbian (written and spoken).</w:t>
      </w:r>
    </w:p>
    <w:p w14:paraId="1A93B7CC" w14:textId="77777777" w:rsidR="00803213" w:rsidRDefault="00803213" w:rsidP="00803213">
      <w:pPr>
        <w:widowControl/>
        <w:autoSpaceDE/>
        <w:autoSpaceDN/>
        <w:spacing w:before="100" w:beforeAutospacing="1" w:after="100" w:afterAutospacing="1"/>
        <w:jc w:val="both"/>
        <w:outlineLvl w:val="2"/>
        <w:rPr>
          <w:b/>
          <w:bCs/>
          <w:sz w:val="24"/>
          <w:szCs w:val="24"/>
        </w:rPr>
      </w:pPr>
    </w:p>
    <w:p w14:paraId="2FFEDEB5" w14:textId="77777777" w:rsidR="00803213" w:rsidRPr="00B360FF" w:rsidRDefault="00803213" w:rsidP="00803213">
      <w:pPr>
        <w:widowControl/>
        <w:autoSpaceDE/>
        <w:autoSpaceDN/>
        <w:spacing w:before="100" w:beforeAutospacing="1" w:after="100" w:afterAutospacing="1"/>
        <w:jc w:val="both"/>
        <w:outlineLvl w:val="2"/>
        <w:rPr>
          <w:b/>
          <w:bCs/>
          <w:sz w:val="24"/>
          <w:szCs w:val="24"/>
        </w:rPr>
      </w:pPr>
      <w:r w:rsidRPr="00B360FF">
        <w:rPr>
          <w:b/>
          <w:bCs/>
          <w:sz w:val="24"/>
          <w:szCs w:val="24"/>
        </w:rPr>
        <w:t>Key Expert 2: Expert in Qualitative and Quantitative Analysis</w:t>
      </w:r>
    </w:p>
    <w:p w14:paraId="03DAC8F7" w14:textId="77777777" w:rsidR="00F34608" w:rsidRDefault="00F34608" w:rsidP="00F12361">
      <w:pPr>
        <w:widowControl/>
        <w:numPr>
          <w:ilvl w:val="0"/>
          <w:numId w:val="13"/>
        </w:numPr>
        <w:jc w:val="both"/>
        <w:rPr>
          <w:kern w:val="2"/>
          <w14:ligatures w14:val="standardContextual"/>
        </w:rPr>
      </w:pPr>
      <w:r>
        <w:rPr>
          <w:sz w:val="24"/>
          <w:szCs w:val="24"/>
        </w:rPr>
        <w:t>Advanced university degree in economics, statistics, social sciences, public policy, or a related field. A Master’s degree will be considered an asset.</w:t>
      </w:r>
    </w:p>
    <w:p w14:paraId="7C6FCF49" w14:textId="7E030861" w:rsidR="00F34608" w:rsidRDefault="00F34608" w:rsidP="00063B50">
      <w:pPr>
        <w:widowControl/>
        <w:numPr>
          <w:ilvl w:val="0"/>
          <w:numId w:val="13"/>
        </w:numPr>
        <w:jc w:val="both"/>
        <w:rPr>
          <w:kern w:val="2"/>
          <w14:ligatures w14:val="standardContextual"/>
        </w:rPr>
      </w:pPr>
      <w:r>
        <w:rPr>
          <w:sz w:val="24"/>
          <w:szCs w:val="24"/>
        </w:rPr>
        <w:t xml:space="preserve">At least </w:t>
      </w:r>
      <w:r w:rsidR="00FE2E87">
        <w:rPr>
          <w:sz w:val="24"/>
          <w:szCs w:val="24"/>
        </w:rPr>
        <w:t>8</w:t>
      </w:r>
      <w:r>
        <w:rPr>
          <w:sz w:val="24"/>
          <w:szCs w:val="24"/>
        </w:rPr>
        <w:t xml:space="preserve"> years of relevant professional experience in research, analysis, consulting, or advisory work related to this assignment.</w:t>
      </w:r>
    </w:p>
    <w:p w14:paraId="3E14200B" w14:textId="39014980" w:rsidR="00803213" w:rsidRPr="00D649E6" w:rsidRDefault="00803213" w:rsidP="006E65B6">
      <w:pPr>
        <w:pStyle w:val="ListParagraph"/>
        <w:numPr>
          <w:ilvl w:val="0"/>
          <w:numId w:val="13"/>
        </w:numPr>
        <w:rPr>
          <w:sz w:val="24"/>
          <w:szCs w:val="24"/>
        </w:rPr>
      </w:pPr>
      <w:r w:rsidRPr="00D649E6">
        <w:rPr>
          <w:sz w:val="24"/>
          <w:szCs w:val="24"/>
        </w:rPr>
        <w:t xml:space="preserve">Experience in applying </w:t>
      </w:r>
      <w:r w:rsidR="00D2266B" w:rsidRPr="00D649E6">
        <w:rPr>
          <w:sz w:val="24"/>
          <w:szCs w:val="24"/>
        </w:rPr>
        <w:t xml:space="preserve">and integrating </w:t>
      </w:r>
      <w:r w:rsidRPr="00D649E6">
        <w:rPr>
          <w:sz w:val="24"/>
          <w:szCs w:val="24"/>
        </w:rPr>
        <w:t>qualitative and quantitative research methods.</w:t>
      </w:r>
    </w:p>
    <w:p w14:paraId="251E157F" w14:textId="7762B032"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Experience in conducting analyses combining qualitative and quantitative approaches.</w:t>
      </w:r>
    </w:p>
    <w:p w14:paraId="0E2B7844" w14:textId="28DC5008"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Experience in conducting market</w:t>
      </w:r>
      <w:r w:rsidR="007240AC">
        <w:rPr>
          <w:sz w:val="24"/>
          <w:szCs w:val="24"/>
        </w:rPr>
        <w:t>,</w:t>
      </w:r>
      <w:r w:rsidRPr="00B360FF">
        <w:rPr>
          <w:sz w:val="24"/>
          <w:szCs w:val="24"/>
        </w:rPr>
        <w:t xml:space="preserve"> business</w:t>
      </w:r>
      <w:r w:rsidR="007240AC">
        <w:rPr>
          <w:sz w:val="24"/>
          <w:szCs w:val="24"/>
        </w:rPr>
        <w:t>,</w:t>
      </w:r>
      <w:r w:rsidRPr="00B360FF">
        <w:rPr>
          <w:sz w:val="24"/>
          <w:szCs w:val="24"/>
        </w:rPr>
        <w:t xml:space="preserve"> </w:t>
      </w:r>
      <w:r w:rsidR="007240AC">
        <w:rPr>
          <w:sz w:val="24"/>
          <w:szCs w:val="24"/>
        </w:rPr>
        <w:t>sector</w:t>
      </w:r>
      <w:r w:rsidR="007240AC" w:rsidRPr="00B360FF">
        <w:rPr>
          <w:sz w:val="24"/>
          <w:szCs w:val="24"/>
        </w:rPr>
        <w:t xml:space="preserve"> </w:t>
      </w:r>
      <w:r w:rsidR="007240AC">
        <w:rPr>
          <w:sz w:val="24"/>
          <w:szCs w:val="24"/>
        </w:rPr>
        <w:t xml:space="preserve">or policy </w:t>
      </w:r>
      <w:r w:rsidRPr="00B360FF">
        <w:rPr>
          <w:sz w:val="24"/>
          <w:szCs w:val="24"/>
        </w:rPr>
        <w:t>analyses in Serbia</w:t>
      </w:r>
      <w:r w:rsidR="007240AC" w:rsidRPr="007240AC">
        <w:rPr>
          <w:sz w:val="24"/>
          <w:szCs w:val="24"/>
        </w:rPr>
        <w:t xml:space="preserve"> </w:t>
      </w:r>
      <w:r w:rsidR="007240AC">
        <w:rPr>
          <w:sz w:val="24"/>
          <w:szCs w:val="24"/>
        </w:rPr>
        <w:t>relevant to agricultural or rural development issues</w:t>
      </w:r>
      <w:r w:rsidR="00865601">
        <w:rPr>
          <w:sz w:val="24"/>
          <w:szCs w:val="24"/>
        </w:rPr>
        <w:t xml:space="preserve"> </w:t>
      </w:r>
      <w:r w:rsidR="00865601" w:rsidRPr="00865601">
        <w:rPr>
          <w:sz w:val="24"/>
          <w:szCs w:val="24"/>
        </w:rPr>
        <w:t>or other related socio-economic development fields</w:t>
      </w:r>
      <w:r w:rsidRPr="00B360FF">
        <w:rPr>
          <w:sz w:val="24"/>
          <w:szCs w:val="24"/>
        </w:rPr>
        <w:t>.</w:t>
      </w:r>
    </w:p>
    <w:p w14:paraId="34B174FD" w14:textId="26F704D8"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Experience working with international organizations, preferably including participation in at least one project funded by an international organization within the past five years.</w:t>
      </w:r>
    </w:p>
    <w:p w14:paraId="16E1CECD" w14:textId="7777777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CFA certification or equivalent, will be considered as an asset.</w:t>
      </w:r>
    </w:p>
    <w:p w14:paraId="6FC74D7C" w14:textId="47AE968A"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 xml:space="preserve">Experience in delivering training related to research methods or </w:t>
      </w:r>
      <w:r w:rsidR="00372701" w:rsidRPr="00B360FF">
        <w:rPr>
          <w:sz w:val="24"/>
          <w:szCs w:val="24"/>
        </w:rPr>
        <w:t>analysis</w:t>
      </w:r>
      <w:r w:rsidRPr="00B360FF">
        <w:rPr>
          <w:sz w:val="24"/>
          <w:szCs w:val="24"/>
        </w:rPr>
        <w:t xml:space="preserve"> will be considered as an asset.</w:t>
      </w:r>
    </w:p>
    <w:p w14:paraId="4BF48508" w14:textId="7777777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Fluency in English and Serbian (written and spoken).</w:t>
      </w:r>
    </w:p>
    <w:p w14:paraId="7EA06ED3" w14:textId="77777777" w:rsidR="00803213" w:rsidRDefault="00803213" w:rsidP="00803213">
      <w:pPr>
        <w:widowControl/>
        <w:autoSpaceDE/>
        <w:autoSpaceDN/>
        <w:spacing w:before="100" w:beforeAutospacing="1" w:after="100" w:afterAutospacing="1"/>
        <w:jc w:val="both"/>
        <w:outlineLvl w:val="2"/>
        <w:rPr>
          <w:b/>
          <w:bCs/>
          <w:sz w:val="24"/>
          <w:szCs w:val="24"/>
        </w:rPr>
      </w:pPr>
    </w:p>
    <w:p w14:paraId="6BC89C92" w14:textId="77777777" w:rsidR="00803213" w:rsidRPr="00B360FF" w:rsidRDefault="00803213" w:rsidP="00803213">
      <w:pPr>
        <w:widowControl/>
        <w:autoSpaceDE/>
        <w:autoSpaceDN/>
        <w:spacing w:before="100" w:beforeAutospacing="1" w:after="100" w:afterAutospacing="1"/>
        <w:jc w:val="both"/>
        <w:outlineLvl w:val="2"/>
        <w:rPr>
          <w:b/>
          <w:bCs/>
          <w:sz w:val="24"/>
          <w:szCs w:val="24"/>
        </w:rPr>
      </w:pPr>
      <w:r w:rsidRPr="00B360FF">
        <w:rPr>
          <w:b/>
          <w:bCs/>
          <w:sz w:val="24"/>
          <w:szCs w:val="24"/>
        </w:rPr>
        <w:t>Key Expert 3: Statistician / Data Analytics Expert</w:t>
      </w:r>
    </w:p>
    <w:p w14:paraId="2ACD7E1A" w14:textId="77777777" w:rsidR="00F34608" w:rsidRDefault="00F34608" w:rsidP="00D7303A">
      <w:pPr>
        <w:widowControl/>
        <w:numPr>
          <w:ilvl w:val="0"/>
          <w:numId w:val="13"/>
        </w:numPr>
        <w:jc w:val="both"/>
        <w:rPr>
          <w:kern w:val="2"/>
          <w14:ligatures w14:val="standardContextual"/>
        </w:rPr>
      </w:pPr>
      <w:r>
        <w:rPr>
          <w:sz w:val="24"/>
          <w:szCs w:val="24"/>
        </w:rPr>
        <w:t>University degree in statistics, econometrics, economics, data science, mathematics, or a related field. Advanced training or postgraduate qualifications will be considered an asset.</w:t>
      </w:r>
    </w:p>
    <w:p w14:paraId="55A04225" w14:textId="5BEDC670" w:rsidR="0025720B" w:rsidRPr="00B360FF" w:rsidRDefault="0025720B" w:rsidP="00803213">
      <w:pPr>
        <w:widowControl/>
        <w:numPr>
          <w:ilvl w:val="0"/>
          <w:numId w:val="13"/>
        </w:numPr>
        <w:autoSpaceDE/>
        <w:autoSpaceDN/>
        <w:spacing w:before="100" w:beforeAutospacing="1" w:after="100" w:afterAutospacing="1"/>
        <w:contextualSpacing/>
        <w:jc w:val="both"/>
        <w:rPr>
          <w:sz w:val="24"/>
          <w:szCs w:val="24"/>
        </w:rPr>
      </w:pPr>
      <w:r w:rsidRPr="0025720B">
        <w:rPr>
          <w:sz w:val="24"/>
          <w:szCs w:val="24"/>
        </w:rPr>
        <w:lastRenderedPageBreak/>
        <w:t>Experience in applying advanced statistical and econometric methods, including multivariate analysis, regression modeling, and cluster/segmentation analysis, in the context of socio-economic or sector-specific research.</w:t>
      </w:r>
    </w:p>
    <w:p w14:paraId="4A28346A" w14:textId="49508E36" w:rsidR="00803213" w:rsidRPr="00B360FF" w:rsidRDefault="00A237E8" w:rsidP="00803213">
      <w:pPr>
        <w:widowControl/>
        <w:numPr>
          <w:ilvl w:val="0"/>
          <w:numId w:val="13"/>
        </w:numPr>
        <w:autoSpaceDE/>
        <w:autoSpaceDN/>
        <w:spacing w:before="100" w:beforeAutospacing="1" w:after="100" w:afterAutospacing="1"/>
        <w:contextualSpacing/>
        <w:jc w:val="both"/>
        <w:rPr>
          <w:sz w:val="24"/>
          <w:szCs w:val="24"/>
        </w:rPr>
      </w:pPr>
      <w:r>
        <w:rPr>
          <w:sz w:val="24"/>
          <w:szCs w:val="24"/>
        </w:rPr>
        <w:t>E</w:t>
      </w:r>
      <w:r w:rsidR="00803213" w:rsidRPr="00B360FF">
        <w:rPr>
          <w:sz w:val="24"/>
          <w:szCs w:val="24"/>
        </w:rPr>
        <w:t xml:space="preserve">xperience in </w:t>
      </w:r>
      <w:r w:rsidR="00423B3D">
        <w:rPr>
          <w:sz w:val="24"/>
          <w:szCs w:val="24"/>
        </w:rPr>
        <w:t>applying statistical or econometric methods in socio-economic, agricultural, or other sector-relevant analytical work</w:t>
      </w:r>
      <w:r w:rsidR="00803213" w:rsidRPr="00B360FF">
        <w:rPr>
          <w:sz w:val="24"/>
          <w:szCs w:val="24"/>
        </w:rPr>
        <w:t>, including at least five analyses in the past two years.</w:t>
      </w:r>
    </w:p>
    <w:p w14:paraId="036FA3CC" w14:textId="0ADFCACC"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Experience working with international</w:t>
      </w:r>
      <w:r w:rsidR="00A237E8">
        <w:rPr>
          <w:sz w:val="24"/>
          <w:szCs w:val="24"/>
        </w:rPr>
        <w:t xml:space="preserve"> </w:t>
      </w:r>
      <w:r w:rsidRPr="00B360FF">
        <w:rPr>
          <w:sz w:val="24"/>
          <w:szCs w:val="24"/>
        </w:rPr>
        <w:t xml:space="preserve">organizations, </w:t>
      </w:r>
      <w:r w:rsidR="00F77403">
        <w:rPr>
          <w:sz w:val="24"/>
          <w:szCs w:val="24"/>
        </w:rPr>
        <w:t>development partners, or public institutions,</w:t>
      </w:r>
      <w:r w:rsidR="00F77403" w:rsidRPr="00B360FF">
        <w:rPr>
          <w:sz w:val="24"/>
          <w:szCs w:val="24"/>
        </w:rPr>
        <w:t xml:space="preserve"> </w:t>
      </w:r>
      <w:r w:rsidRPr="00B360FF">
        <w:rPr>
          <w:sz w:val="24"/>
          <w:szCs w:val="24"/>
        </w:rPr>
        <w:t>preferably including participation in at least one project funded by an international organization in Serbia.</w:t>
      </w:r>
    </w:p>
    <w:p w14:paraId="6CEB820D" w14:textId="31B1DB0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 xml:space="preserve">Experience in working with large datasets and data analysis </w:t>
      </w:r>
      <w:r w:rsidR="00372701" w:rsidRPr="00B360FF">
        <w:rPr>
          <w:sz w:val="24"/>
          <w:szCs w:val="24"/>
        </w:rPr>
        <w:t>tools</w:t>
      </w:r>
      <w:r w:rsidRPr="00B360FF">
        <w:rPr>
          <w:sz w:val="24"/>
          <w:szCs w:val="24"/>
        </w:rPr>
        <w:t xml:space="preserve"> will be considered as an asset.</w:t>
      </w:r>
    </w:p>
    <w:p w14:paraId="21E92EBA" w14:textId="7777777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Fluency in English and Serbian (written and spoken).</w:t>
      </w:r>
    </w:p>
    <w:p w14:paraId="09B24EBF" w14:textId="77777777" w:rsidR="00803213" w:rsidRDefault="00803213" w:rsidP="00FE11C8">
      <w:pPr>
        <w:widowControl/>
        <w:autoSpaceDE/>
        <w:autoSpaceDN/>
        <w:spacing w:before="100" w:beforeAutospacing="1" w:after="100" w:afterAutospacing="1"/>
        <w:jc w:val="both"/>
        <w:outlineLvl w:val="2"/>
        <w:rPr>
          <w:b/>
          <w:bCs/>
          <w:sz w:val="24"/>
          <w:szCs w:val="24"/>
        </w:rPr>
      </w:pPr>
    </w:p>
    <w:p w14:paraId="18839935" w14:textId="77777777" w:rsidR="00803213" w:rsidRPr="00B360FF" w:rsidRDefault="00803213" w:rsidP="00FE11C8">
      <w:pPr>
        <w:widowControl/>
        <w:autoSpaceDE/>
        <w:autoSpaceDN/>
        <w:spacing w:before="100" w:beforeAutospacing="1" w:after="100" w:afterAutospacing="1"/>
        <w:jc w:val="both"/>
        <w:outlineLvl w:val="2"/>
        <w:rPr>
          <w:b/>
          <w:bCs/>
          <w:sz w:val="24"/>
          <w:szCs w:val="24"/>
        </w:rPr>
      </w:pPr>
      <w:r w:rsidRPr="00B360FF">
        <w:rPr>
          <w:b/>
          <w:bCs/>
          <w:sz w:val="24"/>
          <w:szCs w:val="24"/>
        </w:rPr>
        <w:t>Key Expert 4: Agricultural Economist</w:t>
      </w:r>
    </w:p>
    <w:p w14:paraId="34E5C77D" w14:textId="77777777" w:rsidR="00F34608" w:rsidRDefault="00F34608" w:rsidP="005734AF">
      <w:pPr>
        <w:widowControl/>
        <w:numPr>
          <w:ilvl w:val="0"/>
          <w:numId w:val="13"/>
        </w:numPr>
        <w:jc w:val="both"/>
        <w:rPr>
          <w:kern w:val="2"/>
          <w14:ligatures w14:val="standardContextual"/>
        </w:rPr>
      </w:pPr>
      <w:r>
        <w:rPr>
          <w:sz w:val="24"/>
          <w:szCs w:val="24"/>
        </w:rPr>
        <w:t>University degree in agricultural economics, agri-business, rural development, economics, or a related field. Advanced qualifications will be considered an asset.</w:t>
      </w:r>
    </w:p>
    <w:p w14:paraId="290D22E9" w14:textId="77777777" w:rsidR="00F34608" w:rsidRDefault="00F34608" w:rsidP="005734AF">
      <w:pPr>
        <w:widowControl/>
        <w:numPr>
          <w:ilvl w:val="0"/>
          <w:numId w:val="13"/>
        </w:numPr>
        <w:jc w:val="both"/>
        <w:rPr>
          <w:kern w:val="2"/>
          <w14:ligatures w14:val="standardContextual"/>
        </w:rPr>
      </w:pPr>
      <w:r>
        <w:rPr>
          <w:sz w:val="24"/>
          <w:szCs w:val="24"/>
        </w:rPr>
        <w:t>Experience working with international organizations, development partners, public institutions, or sector programs relevant to agriculture or rural development will be considered an asset.</w:t>
      </w:r>
    </w:p>
    <w:p w14:paraId="0F45D840" w14:textId="342C783A"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Experience in working with international organizations, preferably including participation in at least one project funded by an international organization within the past year in Serbia.</w:t>
      </w:r>
    </w:p>
    <w:p w14:paraId="0585B58B" w14:textId="3752993C" w:rsidR="00803213" w:rsidRPr="00B360FF" w:rsidRDefault="004461B1" w:rsidP="00803213">
      <w:pPr>
        <w:widowControl/>
        <w:numPr>
          <w:ilvl w:val="0"/>
          <w:numId w:val="13"/>
        </w:numPr>
        <w:autoSpaceDE/>
        <w:autoSpaceDN/>
        <w:spacing w:before="100" w:beforeAutospacing="1" w:after="100" w:afterAutospacing="1"/>
        <w:contextualSpacing/>
        <w:jc w:val="both"/>
        <w:rPr>
          <w:sz w:val="24"/>
          <w:szCs w:val="24"/>
        </w:rPr>
      </w:pPr>
      <w:r>
        <w:rPr>
          <w:sz w:val="24"/>
          <w:szCs w:val="24"/>
        </w:rPr>
        <w:t>Relevant e</w:t>
      </w:r>
      <w:r w:rsidR="00803213" w:rsidRPr="00B360FF">
        <w:rPr>
          <w:sz w:val="24"/>
          <w:szCs w:val="24"/>
        </w:rPr>
        <w:t xml:space="preserve">xperience in analysis of primary agricultural production </w:t>
      </w:r>
      <w:r w:rsidR="00AB21DA">
        <w:rPr>
          <w:sz w:val="24"/>
          <w:szCs w:val="24"/>
        </w:rPr>
        <w:t xml:space="preserve">systems, </w:t>
      </w:r>
      <w:r w:rsidR="00803213" w:rsidRPr="00B360FF">
        <w:rPr>
          <w:sz w:val="24"/>
          <w:szCs w:val="24"/>
        </w:rPr>
        <w:t>value chains</w:t>
      </w:r>
      <w:r w:rsidR="008D7F47">
        <w:rPr>
          <w:sz w:val="24"/>
          <w:szCs w:val="24"/>
        </w:rPr>
        <w:t>, farm economics, or related sector issues</w:t>
      </w:r>
      <w:r w:rsidR="003F3F92">
        <w:rPr>
          <w:sz w:val="24"/>
          <w:szCs w:val="24"/>
        </w:rPr>
        <w:t>.</w:t>
      </w:r>
    </w:p>
    <w:p w14:paraId="75924200" w14:textId="7777777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Experience in working with primary agricultural producers and understanding of their operational, financial, and/or market-related conditions.</w:t>
      </w:r>
    </w:p>
    <w:p w14:paraId="06FAF629" w14:textId="1E078377" w:rsidR="00803213" w:rsidRPr="00B360FF" w:rsidRDefault="00803213" w:rsidP="00803213">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t xml:space="preserve">Experience in the agricultural </w:t>
      </w:r>
      <w:r w:rsidR="00372701" w:rsidRPr="00B360FF">
        <w:rPr>
          <w:sz w:val="24"/>
          <w:szCs w:val="24"/>
        </w:rPr>
        <w:t>sector</w:t>
      </w:r>
      <w:r w:rsidRPr="00B360FF">
        <w:rPr>
          <w:sz w:val="24"/>
          <w:szCs w:val="24"/>
        </w:rPr>
        <w:t xml:space="preserve"> will be considered as an asset.</w:t>
      </w:r>
    </w:p>
    <w:p w14:paraId="098FED7B" w14:textId="764750F0" w:rsidR="00803213" w:rsidRDefault="00803213" w:rsidP="00B66716">
      <w:pPr>
        <w:widowControl/>
        <w:numPr>
          <w:ilvl w:val="0"/>
          <w:numId w:val="13"/>
        </w:numPr>
        <w:autoSpaceDE/>
        <w:autoSpaceDN/>
        <w:spacing w:before="100" w:beforeAutospacing="1" w:after="100" w:afterAutospacing="1"/>
        <w:contextualSpacing/>
        <w:jc w:val="both"/>
        <w:rPr>
          <w:sz w:val="24"/>
          <w:szCs w:val="24"/>
        </w:rPr>
      </w:pPr>
      <w:r w:rsidRPr="00B360FF">
        <w:rPr>
          <w:sz w:val="24"/>
          <w:szCs w:val="24"/>
        </w:rPr>
        <w:lastRenderedPageBreak/>
        <w:t>Fluency in English and Serbian (written and spoken).</w:t>
      </w:r>
    </w:p>
    <w:p w14:paraId="02752F03" w14:textId="77777777" w:rsidR="00FE11C8" w:rsidRDefault="00FE11C8" w:rsidP="00FE11C8">
      <w:pPr>
        <w:widowControl/>
        <w:autoSpaceDE/>
        <w:autoSpaceDN/>
        <w:spacing w:before="100" w:beforeAutospacing="1" w:after="100" w:afterAutospacing="1"/>
        <w:ind w:left="360"/>
        <w:contextualSpacing/>
        <w:jc w:val="both"/>
        <w:rPr>
          <w:sz w:val="24"/>
          <w:szCs w:val="24"/>
        </w:rPr>
      </w:pPr>
    </w:p>
    <w:p w14:paraId="71963D8E" w14:textId="77777777" w:rsidR="00803213" w:rsidRPr="00B360FF" w:rsidRDefault="00803213" w:rsidP="00803213">
      <w:pPr>
        <w:widowControl/>
        <w:autoSpaceDE/>
        <w:autoSpaceDN/>
        <w:spacing w:before="100" w:beforeAutospacing="1" w:after="100" w:afterAutospacing="1"/>
        <w:jc w:val="both"/>
        <w:outlineLvl w:val="2"/>
        <w:rPr>
          <w:b/>
          <w:bCs/>
          <w:sz w:val="24"/>
          <w:szCs w:val="24"/>
        </w:rPr>
      </w:pPr>
      <w:r w:rsidRPr="00B360FF">
        <w:rPr>
          <w:b/>
          <w:bCs/>
          <w:sz w:val="24"/>
          <w:szCs w:val="24"/>
        </w:rPr>
        <w:t>Evidence for Key Experts</w:t>
      </w:r>
    </w:p>
    <w:p w14:paraId="2BC4616E" w14:textId="77777777" w:rsidR="00803213" w:rsidRPr="00B360FF" w:rsidRDefault="00803213" w:rsidP="00803213">
      <w:pPr>
        <w:widowControl/>
        <w:autoSpaceDE/>
        <w:autoSpaceDN/>
        <w:spacing w:before="100" w:beforeAutospacing="1" w:after="100" w:afterAutospacing="1"/>
        <w:jc w:val="both"/>
        <w:rPr>
          <w:sz w:val="24"/>
          <w:szCs w:val="24"/>
        </w:rPr>
      </w:pPr>
      <w:r w:rsidRPr="00B360FF">
        <w:rPr>
          <w:sz w:val="24"/>
          <w:szCs w:val="24"/>
        </w:rPr>
        <w:t xml:space="preserve">For each proposed expert, the </w:t>
      </w:r>
      <w:r w:rsidRPr="00D1249C">
        <w:rPr>
          <w:sz w:val="24"/>
          <w:szCs w:val="24"/>
        </w:rPr>
        <w:t>Consultant</w:t>
      </w:r>
      <w:r>
        <w:rPr>
          <w:sz w:val="24"/>
          <w:szCs w:val="24"/>
        </w:rPr>
        <w:t xml:space="preserve"> </w:t>
      </w:r>
      <w:r w:rsidRPr="00B360FF">
        <w:rPr>
          <w:sz w:val="24"/>
          <w:szCs w:val="24"/>
        </w:rPr>
        <w:t>shall submit:</w:t>
      </w:r>
    </w:p>
    <w:p w14:paraId="27DA81B8" w14:textId="77777777" w:rsidR="00803213" w:rsidRPr="00B360FF" w:rsidRDefault="00803213" w:rsidP="00803213">
      <w:pPr>
        <w:widowControl/>
        <w:numPr>
          <w:ilvl w:val="0"/>
          <w:numId w:val="10"/>
        </w:numPr>
        <w:autoSpaceDE/>
        <w:autoSpaceDN/>
        <w:spacing w:before="100" w:beforeAutospacing="1" w:after="100" w:afterAutospacing="1"/>
        <w:jc w:val="both"/>
        <w:rPr>
          <w:sz w:val="24"/>
          <w:szCs w:val="24"/>
        </w:rPr>
      </w:pPr>
      <w:r w:rsidRPr="00B360FF">
        <w:rPr>
          <w:sz w:val="24"/>
          <w:szCs w:val="24"/>
        </w:rPr>
        <w:t>Curriculum Vitae (CV), signed by the expert;</w:t>
      </w:r>
    </w:p>
    <w:p w14:paraId="04AF31A2" w14:textId="77777777" w:rsidR="00803213" w:rsidRPr="00B360FF" w:rsidRDefault="00803213" w:rsidP="00803213">
      <w:pPr>
        <w:widowControl/>
        <w:numPr>
          <w:ilvl w:val="0"/>
          <w:numId w:val="10"/>
        </w:numPr>
        <w:autoSpaceDE/>
        <w:autoSpaceDN/>
        <w:spacing w:before="100" w:beforeAutospacing="1" w:after="100" w:afterAutospacing="1"/>
        <w:jc w:val="both"/>
        <w:rPr>
          <w:sz w:val="24"/>
          <w:szCs w:val="24"/>
        </w:rPr>
      </w:pPr>
      <w:r w:rsidRPr="00B360FF">
        <w:rPr>
          <w:sz w:val="24"/>
          <w:szCs w:val="24"/>
        </w:rPr>
        <w:t>Documents supporting educational qualifications (diplomas or equivalent);</w:t>
      </w:r>
    </w:p>
    <w:p w14:paraId="500FD9C2" w14:textId="77777777" w:rsidR="00803213" w:rsidRPr="00B360FF" w:rsidRDefault="00803213" w:rsidP="00803213">
      <w:pPr>
        <w:widowControl/>
        <w:numPr>
          <w:ilvl w:val="0"/>
          <w:numId w:val="10"/>
        </w:numPr>
        <w:autoSpaceDE/>
        <w:autoSpaceDN/>
        <w:spacing w:before="100" w:beforeAutospacing="1" w:after="100" w:afterAutospacing="1"/>
        <w:jc w:val="both"/>
        <w:rPr>
          <w:sz w:val="24"/>
          <w:szCs w:val="24"/>
        </w:rPr>
      </w:pPr>
      <w:r w:rsidRPr="00B360FF">
        <w:rPr>
          <w:sz w:val="24"/>
          <w:szCs w:val="24"/>
        </w:rPr>
        <w:t>References or descriptions of relevant assignments demonstrating the required experience.</w:t>
      </w:r>
    </w:p>
    <w:p w14:paraId="0B21D360" w14:textId="5041C8AF" w:rsidR="00803213" w:rsidRPr="00B360FF" w:rsidRDefault="00803213" w:rsidP="00803213">
      <w:pPr>
        <w:widowControl/>
        <w:autoSpaceDE/>
        <w:autoSpaceDN/>
        <w:spacing w:before="100" w:beforeAutospacing="1" w:after="100" w:afterAutospacing="1"/>
        <w:jc w:val="both"/>
        <w:rPr>
          <w:sz w:val="24"/>
          <w:szCs w:val="24"/>
        </w:rPr>
      </w:pPr>
      <w:r w:rsidRPr="00B360FF">
        <w:rPr>
          <w:sz w:val="24"/>
          <w:szCs w:val="24"/>
        </w:rPr>
        <w:t xml:space="preserve">References shall </w:t>
      </w:r>
      <w:r w:rsidR="00775118" w:rsidRPr="00B360FF">
        <w:rPr>
          <w:sz w:val="24"/>
          <w:szCs w:val="24"/>
        </w:rPr>
        <w:t>include</w:t>
      </w:r>
      <w:r w:rsidRPr="00B360FF">
        <w:rPr>
          <w:sz w:val="24"/>
          <w:szCs w:val="24"/>
        </w:rPr>
        <w:t xml:space="preserve"> for each assignment: the </w:t>
      </w:r>
      <w:r w:rsidR="00775118" w:rsidRPr="00B360FF">
        <w:rPr>
          <w:sz w:val="24"/>
          <w:szCs w:val="24"/>
        </w:rPr>
        <w:t>client’s</w:t>
      </w:r>
      <w:r w:rsidRPr="00B360FF">
        <w:rPr>
          <w:sz w:val="24"/>
          <w:szCs w:val="24"/>
        </w:rPr>
        <w:t xml:space="preserve"> name, assignment title, period of implementation, and the expert's role.</w:t>
      </w:r>
    </w:p>
    <w:p w14:paraId="2BB6D2EF" w14:textId="77777777" w:rsidR="00803213" w:rsidRPr="00B360FF" w:rsidRDefault="00803213" w:rsidP="00803213">
      <w:pPr>
        <w:widowControl/>
        <w:autoSpaceDE/>
        <w:autoSpaceDN/>
        <w:spacing w:before="240" w:after="120"/>
        <w:jc w:val="both"/>
        <w:outlineLvl w:val="1"/>
        <w:rPr>
          <w:rFonts w:eastAsia="Arial"/>
          <w:b/>
          <w:bCs/>
          <w:color w:val="000000"/>
          <w:sz w:val="24"/>
          <w:szCs w:val="24"/>
        </w:rPr>
      </w:pPr>
      <w:r w:rsidRPr="00B360FF">
        <w:rPr>
          <w:rFonts w:eastAsia="Arial"/>
          <w:b/>
          <w:bCs/>
          <w:color w:val="000000"/>
          <w:sz w:val="24"/>
          <w:szCs w:val="24"/>
        </w:rPr>
        <w:t>11. Confidentiality Statement</w:t>
      </w:r>
    </w:p>
    <w:p w14:paraId="1FC6D220" w14:textId="42A23151"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 xml:space="preserve">All data and information received from </w:t>
      </w:r>
      <w:r w:rsidR="00D652ED">
        <w:rPr>
          <w:sz w:val="24"/>
          <w:szCs w:val="24"/>
        </w:rPr>
        <w:t xml:space="preserve">the Client </w:t>
      </w:r>
      <w:r w:rsidRPr="00B360FF">
        <w:rPr>
          <w:rFonts w:eastAsia="Arial"/>
          <w:sz w:val="24"/>
          <w:szCs w:val="24"/>
        </w:rPr>
        <w:t>for the purpose of this assignment are to be treated</w:t>
      </w:r>
      <w:r w:rsidR="00F53D8E" w:rsidRPr="00F53D8E">
        <w:rPr>
          <w:sz w:val="24"/>
          <w:szCs w:val="24"/>
        </w:rPr>
        <w:t xml:space="preserve"> </w:t>
      </w:r>
      <w:r w:rsidR="00F53D8E">
        <w:rPr>
          <w:sz w:val="24"/>
          <w:szCs w:val="24"/>
        </w:rPr>
        <w:t>as confidential and used solely for implementation of the assignment</w:t>
      </w:r>
      <w:r w:rsidRPr="00B360FF">
        <w:rPr>
          <w:rFonts w:eastAsia="Arial"/>
          <w:sz w:val="24"/>
          <w:szCs w:val="24"/>
        </w:rPr>
        <w:t>.</w:t>
      </w:r>
      <w:r w:rsidR="00F53D8E" w:rsidRPr="00F53D8E">
        <w:rPr>
          <w:sz w:val="24"/>
          <w:szCs w:val="24"/>
        </w:rPr>
        <w:t xml:space="preserve"> </w:t>
      </w:r>
      <w:r w:rsidR="00F53D8E">
        <w:rPr>
          <w:sz w:val="24"/>
          <w:szCs w:val="24"/>
        </w:rPr>
        <w:t>The Consultant shall also protect the confidentiality of respondents and any personal or sensitive information collected during fieldwork or analysis</w:t>
      </w:r>
      <w:r w:rsidR="006A58DB">
        <w:rPr>
          <w:sz w:val="24"/>
          <w:szCs w:val="24"/>
        </w:rPr>
        <w:t>.</w:t>
      </w:r>
    </w:p>
    <w:p w14:paraId="2977CB0D" w14:textId="5D1DD614" w:rsidR="00803213" w:rsidRPr="00B360FF" w:rsidRDefault="00803213" w:rsidP="00803213">
      <w:pPr>
        <w:widowControl/>
        <w:autoSpaceDE/>
        <w:autoSpaceDN/>
        <w:spacing w:after="160"/>
        <w:jc w:val="both"/>
        <w:rPr>
          <w:rFonts w:eastAsia="Arial"/>
          <w:sz w:val="24"/>
          <w:szCs w:val="24"/>
        </w:rPr>
      </w:pPr>
      <w:r w:rsidRPr="00B360FF">
        <w:rPr>
          <w:rFonts w:eastAsia="Arial"/>
          <w:sz w:val="24"/>
          <w:szCs w:val="24"/>
        </w:rPr>
        <w:t xml:space="preserve">All </w:t>
      </w:r>
      <w:r w:rsidR="00625A20">
        <w:rPr>
          <w:sz w:val="24"/>
          <w:szCs w:val="24"/>
        </w:rPr>
        <w:t xml:space="preserve">deliverables, datasets, and other materials produced under this assignment shall be subject to </w:t>
      </w:r>
      <w:r w:rsidR="006736BB">
        <w:rPr>
          <w:sz w:val="24"/>
          <w:szCs w:val="24"/>
        </w:rPr>
        <w:t xml:space="preserve">the </w:t>
      </w:r>
      <w:r w:rsidRPr="00B360FF">
        <w:rPr>
          <w:rFonts w:eastAsia="Arial"/>
          <w:sz w:val="24"/>
          <w:szCs w:val="24"/>
        </w:rPr>
        <w:t xml:space="preserve">intellectual property </w:t>
      </w:r>
      <w:r w:rsidR="00625A20">
        <w:rPr>
          <w:sz w:val="24"/>
          <w:szCs w:val="24"/>
        </w:rPr>
        <w:t xml:space="preserve">and disclosure provisions of the </w:t>
      </w:r>
      <w:proofErr w:type="gramStart"/>
      <w:r w:rsidR="00625A20">
        <w:rPr>
          <w:sz w:val="24"/>
          <w:szCs w:val="24"/>
        </w:rPr>
        <w:t>contract</w:t>
      </w:r>
      <w:r w:rsidR="00625A20" w:rsidRPr="00B360FF">
        <w:rPr>
          <w:rFonts w:eastAsia="Arial"/>
          <w:sz w:val="24"/>
          <w:szCs w:val="24"/>
        </w:rPr>
        <w:t xml:space="preserve"> </w:t>
      </w:r>
      <w:r w:rsidRPr="00B360FF">
        <w:rPr>
          <w:rFonts w:eastAsia="Arial"/>
          <w:sz w:val="24"/>
          <w:szCs w:val="24"/>
        </w:rPr>
        <w:t>.</w:t>
      </w:r>
      <w:proofErr w:type="gramEnd"/>
      <w:r w:rsidRPr="00B360FF">
        <w:rPr>
          <w:rFonts w:eastAsia="Arial"/>
          <w:sz w:val="24"/>
          <w:szCs w:val="24"/>
        </w:rPr>
        <w:t xml:space="preserve"> The written materials obtained and used in this assignment may not be disclosed to any third parties without </w:t>
      </w:r>
      <w:proofErr w:type="gramStart"/>
      <w:r w:rsidRPr="00B360FF">
        <w:rPr>
          <w:rFonts w:eastAsia="Arial"/>
          <w:sz w:val="24"/>
          <w:szCs w:val="24"/>
        </w:rPr>
        <w:t xml:space="preserve">the </w:t>
      </w:r>
      <w:r w:rsidR="005D12B9">
        <w:rPr>
          <w:rFonts w:eastAsia="Arial"/>
          <w:sz w:val="24"/>
          <w:szCs w:val="24"/>
        </w:rPr>
        <w:t xml:space="preserve"> </w:t>
      </w:r>
      <w:r w:rsidR="006C3BAB">
        <w:rPr>
          <w:sz w:val="24"/>
          <w:szCs w:val="24"/>
        </w:rPr>
        <w:t>Client’s</w:t>
      </w:r>
      <w:proofErr w:type="gramEnd"/>
      <w:r w:rsidR="006C3BAB">
        <w:rPr>
          <w:sz w:val="24"/>
          <w:szCs w:val="24"/>
        </w:rPr>
        <w:t xml:space="preserve"> prior written authorization, except as otherwise permitted under the contract</w:t>
      </w:r>
      <w:r w:rsidRPr="00B360FF">
        <w:rPr>
          <w:rFonts w:eastAsia="Arial"/>
          <w:sz w:val="24"/>
          <w:szCs w:val="24"/>
        </w:rPr>
        <w:t>.</w:t>
      </w:r>
    </w:p>
    <w:p w14:paraId="05B922BA" w14:textId="77777777" w:rsidR="000E60E6" w:rsidRDefault="000E60E6">
      <w:pPr>
        <w:spacing w:before="240" w:after="120"/>
        <w:jc w:val="both"/>
        <w:rPr>
          <w:kern w:val="2"/>
          <w14:ligatures w14:val="standardContextual"/>
        </w:rPr>
      </w:pPr>
      <w:r>
        <w:rPr>
          <w:b/>
          <w:bCs/>
          <w:color w:val="000000"/>
          <w:sz w:val="24"/>
          <w:szCs w:val="24"/>
        </w:rPr>
        <w:t>12. Proposal Submission Requirements</w:t>
      </w:r>
    </w:p>
    <w:p w14:paraId="25BEB83B" w14:textId="77777777" w:rsidR="000E60E6" w:rsidRDefault="000E60E6">
      <w:pPr>
        <w:spacing w:after="160"/>
        <w:jc w:val="both"/>
        <w:rPr>
          <w:kern w:val="2"/>
          <w14:ligatures w14:val="standardContextual"/>
        </w:rPr>
      </w:pPr>
      <w:r>
        <w:rPr>
          <w:sz w:val="24"/>
          <w:szCs w:val="24"/>
        </w:rPr>
        <w:t xml:space="preserve">Interested consultants shall submit: (i) a technical proposal describing the understanding of the assignment, proposed methodology and work plan, team composition and </w:t>
      </w:r>
      <w:r>
        <w:rPr>
          <w:sz w:val="24"/>
          <w:szCs w:val="24"/>
        </w:rPr>
        <w:lastRenderedPageBreak/>
        <w:t xml:space="preserve">roles, and relevant experience of the firm and proposed experts; (ii) documentary evidence demonstrating compliance with the qualification requirements set out in this </w:t>
      </w:r>
      <w:proofErr w:type="spellStart"/>
      <w:r>
        <w:rPr>
          <w:sz w:val="24"/>
          <w:szCs w:val="24"/>
        </w:rPr>
        <w:t>ToR</w:t>
      </w:r>
      <w:proofErr w:type="spellEnd"/>
      <w:r>
        <w:rPr>
          <w:sz w:val="24"/>
          <w:szCs w:val="24"/>
        </w:rPr>
        <w:t xml:space="preserve">; and (iii) a lump-sum financial proposal for the full assignment, including a breakdown by deliverable. CVs of all proposed key experts shall be signed. Any association with other firms, including joint ventures or </w:t>
      </w:r>
      <w:proofErr w:type="spellStart"/>
      <w:r>
        <w:rPr>
          <w:sz w:val="24"/>
          <w:szCs w:val="24"/>
        </w:rPr>
        <w:t>subconsulting</w:t>
      </w:r>
      <w:proofErr w:type="spellEnd"/>
      <w:r>
        <w:rPr>
          <w:sz w:val="24"/>
          <w:szCs w:val="24"/>
        </w:rPr>
        <w:t xml:space="preserve"> arrangements, shall be clearly described in the proposal together with the role and contribution of each party.</w:t>
      </w:r>
    </w:p>
    <w:p w14:paraId="67D7206C" w14:textId="77777777" w:rsidR="000E60E6" w:rsidRDefault="000E60E6">
      <w:pPr>
        <w:spacing w:before="240" w:after="120"/>
        <w:jc w:val="both"/>
        <w:rPr>
          <w:kern w:val="2"/>
          <w14:ligatures w14:val="standardContextual"/>
        </w:rPr>
      </w:pPr>
      <w:r>
        <w:rPr>
          <w:b/>
          <w:bCs/>
          <w:color w:val="000000"/>
          <w:sz w:val="24"/>
          <w:szCs w:val="24"/>
        </w:rPr>
        <w:t>13. Selection</w:t>
      </w:r>
    </w:p>
    <w:p w14:paraId="13E66573" w14:textId="6EF6EE24" w:rsidR="00803213" w:rsidRDefault="00130A11" w:rsidP="00CA4D05">
      <w:pPr>
        <w:jc w:val="both"/>
        <w:rPr>
          <w:rFonts w:eastAsia="Arial"/>
          <w:sz w:val="24"/>
          <w:szCs w:val="24"/>
        </w:rPr>
      </w:pPr>
      <w:r>
        <w:rPr>
          <w:sz w:val="24"/>
          <w:szCs w:val="24"/>
        </w:rPr>
        <w:t xml:space="preserve">The Consultant will be selected in accordance with the Consultants' Qualifications-based Selection (CQS) method, </w:t>
      </w:r>
      <w:r w:rsidR="00803213" w:rsidRPr="00B360FF">
        <w:rPr>
          <w:rFonts w:eastAsia="Arial"/>
          <w:sz w:val="24"/>
          <w:szCs w:val="24"/>
        </w:rPr>
        <w:t>set out in the World Bank’s Procurement Regulations for IPF Borrowers – Procurement in Investment Project Financing Goods, Works, Non-Consulting and Consulting Services, July 2016, revised November 2017, August 2018.</w:t>
      </w:r>
    </w:p>
    <w:p w14:paraId="1E3FDA39" w14:textId="121ADD15" w:rsidR="00C62855" w:rsidRPr="00B66716" w:rsidRDefault="00C62855" w:rsidP="00CA4D05">
      <w:pPr>
        <w:jc w:val="both"/>
        <w:rPr>
          <w:sz w:val="24"/>
          <w:szCs w:val="24"/>
        </w:rPr>
      </w:pPr>
      <w:r w:rsidRPr="00B66716">
        <w:rPr>
          <w:sz w:val="24"/>
          <w:szCs w:val="24"/>
          <w:lang w:val="en-GB"/>
        </w:rPr>
        <w:t xml:space="preserve">The Consultant will be evaluated applying the following evaluation: </w:t>
      </w:r>
    </w:p>
    <w:p w14:paraId="12A380D2" w14:textId="10712D17" w:rsidR="00C62855" w:rsidRPr="00B66716" w:rsidRDefault="00C62855" w:rsidP="00C62855">
      <w:pPr>
        <w:tabs>
          <w:tab w:val="left" w:pos="1170"/>
        </w:tabs>
        <w:suppressAutoHyphens/>
        <w:ind w:left="360" w:right="43"/>
        <w:rPr>
          <w:sz w:val="24"/>
          <w:szCs w:val="24"/>
        </w:rPr>
      </w:pPr>
      <w:r w:rsidRPr="00B66716">
        <w:rPr>
          <w:sz w:val="24"/>
          <w:szCs w:val="24"/>
        </w:rPr>
        <w:t>Qualifications and General experience                       </w:t>
      </w:r>
      <w:proofErr w:type="gramStart"/>
      <w:r w:rsidRPr="00B66716">
        <w:rPr>
          <w:sz w:val="24"/>
          <w:szCs w:val="24"/>
        </w:rPr>
        <w:t>( 40</w:t>
      </w:r>
      <w:proofErr w:type="gramEnd"/>
      <w:r w:rsidRPr="00B66716">
        <w:rPr>
          <w:sz w:val="24"/>
          <w:szCs w:val="24"/>
        </w:rPr>
        <w:t xml:space="preserve"> Points)</w:t>
      </w:r>
    </w:p>
    <w:p w14:paraId="2591B00A" w14:textId="6138908E" w:rsidR="00C62855" w:rsidRPr="00B66716" w:rsidRDefault="00C62855" w:rsidP="00C62855">
      <w:pPr>
        <w:tabs>
          <w:tab w:val="left" w:pos="1170"/>
        </w:tabs>
        <w:suppressAutoHyphens/>
        <w:ind w:left="360" w:right="43"/>
        <w:rPr>
          <w:sz w:val="24"/>
          <w:szCs w:val="24"/>
        </w:rPr>
      </w:pPr>
      <w:r w:rsidRPr="00B66716">
        <w:rPr>
          <w:sz w:val="24"/>
          <w:szCs w:val="24"/>
        </w:rPr>
        <w:t xml:space="preserve">Specific Experience relevant to the Assignment        </w:t>
      </w:r>
      <w:proofErr w:type="gramStart"/>
      <w:r w:rsidRPr="00B66716">
        <w:rPr>
          <w:sz w:val="24"/>
          <w:szCs w:val="24"/>
        </w:rPr>
        <w:t>( 60</w:t>
      </w:r>
      <w:proofErr w:type="gramEnd"/>
      <w:r w:rsidRPr="00B66716">
        <w:rPr>
          <w:sz w:val="24"/>
          <w:szCs w:val="24"/>
        </w:rPr>
        <w:t xml:space="preserve"> Points)</w:t>
      </w:r>
    </w:p>
    <w:p w14:paraId="6D881812" w14:textId="2BA027CD" w:rsidR="00803213" w:rsidRPr="0025720B" w:rsidRDefault="00C62855" w:rsidP="00CA4D05">
      <w:pPr>
        <w:widowControl/>
        <w:autoSpaceDE/>
        <w:autoSpaceDN/>
        <w:jc w:val="both"/>
        <w:rPr>
          <w:rFonts w:eastAsia="Arial"/>
          <w:sz w:val="24"/>
          <w:szCs w:val="24"/>
        </w:rPr>
      </w:pPr>
      <w:r w:rsidRPr="00B66716">
        <w:rPr>
          <w:sz w:val="24"/>
          <w:szCs w:val="24"/>
        </w:rPr>
        <w:tab/>
      </w:r>
      <w:r w:rsidRPr="00B66716">
        <w:rPr>
          <w:sz w:val="24"/>
          <w:szCs w:val="24"/>
        </w:rPr>
        <w:tab/>
      </w:r>
      <w:r w:rsidRPr="00B66716">
        <w:rPr>
          <w:sz w:val="24"/>
          <w:szCs w:val="24"/>
        </w:rPr>
        <w:tab/>
      </w:r>
      <w:r w:rsidRPr="00B66716">
        <w:rPr>
          <w:sz w:val="24"/>
          <w:szCs w:val="24"/>
        </w:rPr>
        <w:tab/>
      </w:r>
      <w:r w:rsidRPr="00B66716">
        <w:rPr>
          <w:sz w:val="24"/>
          <w:szCs w:val="24"/>
        </w:rPr>
        <w:tab/>
      </w:r>
      <w:r w:rsidRPr="00B66716">
        <w:rPr>
          <w:sz w:val="24"/>
          <w:szCs w:val="24"/>
        </w:rPr>
        <w:tab/>
        <w:t xml:space="preserve">     TOTAL: 100 points</w:t>
      </w:r>
    </w:p>
    <w:sectPr w:rsidR="00803213" w:rsidRPr="0025720B">
      <w:footerReference w:type="even" r:id="rId11"/>
      <w:footerReference w:type="defaul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F77CC" w14:textId="77777777" w:rsidR="00C418DB" w:rsidRDefault="00C418DB" w:rsidP="0044637C">
      <w:r>
        <w:separator/>
      </w:r>
    </w:p>
  </w:endnote>
  <w:endnote w:type="continuationSeparator" w:id="0">
    <w:p w14:paraId="4D5BFCE7" w14:textId="77777777" w:rsidR="00C418DB" w:rsidRDefault="00C418DB" w:rsidP="0044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6F95" w14:textId="3870950C" w:rsidR="0044637C" w:rsidRDefault="0044637C">
    <w:pPr>
      <w:pStyle w:val="Footer"/>
    </w:pPr>
    <w:r>
      <w:rPr>
        <w:noProof/>
      </w:rPr>
      <mc:AlternateContent>
        <mc:Choice Requires="wps">
          <w:drawing>
            <wp:anchor distT="0" distB="0" distL="0" distR="0" simplePos="0" relativeHeight="251658241" behindDoc="0" locked="0" layoutInCell="1" allowOverlap="1" wp14:anchorId="5212C76C" wp14:editId="23944602">
              <wp:simplePos x="635" y="635"/>
              <wp:positionH relativeFrom="page">
                <wp:align>right</wp:align>
              </wp:positionH>
              <wp:positionV relativeFrom="page">
                <wp:align>bottom</wp:align>
              </wp:positionV>
              <wp:extent cx="1172210" cy="345440"/>
              <wp:effectExtent l="0" t="0" r="0" b="0"/>
              <wp:wrapNone/>
              <wp:docPr id="1076468807" name="Text Box 2" descr="Official Use Only">
                <a:extLst xmlns:a="http://schemas.openxmlformats.org/drawingml/2006/main">
                  <a:ext uri="{5AE41FA2-C0FF-4470-9BD4-5FADCA87CBE2}">
                    <aclsh:classification xmlns:aclsh="http://schemas.microsoft.com/office/drawing/2020/classificationShap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918E835" w14:textId="0B90FA72" w:rsidR="0044637C" w:rsidRPr="0044637C" w:rsidRDefault="0044637C" w:rsidP="0044637C">
                          <w:pPr>
                            <w:rPr>
                              <w:rFonts w:ascii="Aptos" w:eastAsia="Aptos" w:hAnsi="Aptos" w:cs="Aptos"/>
                              <w:noProof/>
                              <w:color w:val="000000"/>
                              <w:sz w:val="20"/>
                              <w:szCs w:val="20"/>
                            </w:rPr>
                          </w:pPr>
                          <w:r w:rsidRPr="0044637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2C76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" filled="f" stroked="f">
              <v:textbox style="mso-fit-shape-to-text:t" inset="0,0,20pt,15pt">
                <w:txbxContent>
                  <w:p w14:paraId="3918E835" w14:textId="0B90FA72" w:rsidR="0044637C" w:rsidRPr="0044637C" w:rsidRDefault="0044637C" w:rsidP="0044637C">
                    <w:pPr>
                      <w:rPr>
                        <w:rFonts w:ascii="Aptos" w:eastAsia="Aptos" w:hAnsi="Aptos" w:cs="Aptos"/>
                        <w:noProof/>
                        <w:color w:val="000000"/>
                        <w:sz w:val="20"/>
                        <w:szCs w:val="20"/>
                      </w:rPr>
                    </w:pPr>
                    <w:r w:rsidRPr="0044637C">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1B6E" w14:textId="7E95EAAC" w:rsidR="0044637C" w:rsidRDefault="0044637C">
    <w:pPr>
      <w:pStyle w:val="Footer"/>
    </w:pPr>
    <w:r>
      <w:rPr>
        <w:noProof/>
      </w:rPr>
      <mc:AlternateContent>
        <mc:Choice Requires="wps">
          <w:drawing>
            <wp:anchor distT="0" distB="0" distL="0" distR="0" simplePos="0" relativeHeight="251658242" behindDoc="0" locked="0" layoutInCell="1" allowOverlap="1" wp14:anchorId="5858B308" wp14:editId="5A34CB76">
              <wp:simplePos x="914400" y="9446217"/>
              <wp:positionH relativeFrom="page">
                <wp:align>right</wp:align>
              </wp:positionH>
              <wp:positionV relativeFrom="page">
                <wp:align>bottom</wp:align>
              </wp:positionV>
              <wp:extent cx="1172210" cy="345440"/>
              <wp:effectExtent l="0" t="0" r="0" b="0"/>
              <wp:wrapNone/>
              <wp:docPr id="85708209" name="Text Box 3" descr="Official Use Only">
                <a:extLst xmlns:a="http://schemas.openxmlformats.org/drawingml/2006/main">
                  <a:ext uri="{5AE41FA2-C0FF-4470-9BD4-5FADCA87CBE2}">
                    <aclsh:classification xmlns:aclsh="http://schemas.microsoft.com/office/drawing/2020/classificationShap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928F038" w14:textId="72947539" w:rsidR="0044637C" w:rsidRPr="0044637C" w:rsidRDefault="0044637C" w:rsidP="0044637C">
                          <w:pPr>
                            <w:rPr>
                              <w:rFonts w:ascii="Aptos" w:eastAsia="Aptos" w:hAnsi="Aptos" w:cs="Aptos"/>
                              <w:noProof/>
                              <w:color w:val="000000"/>
                              <w:sz w:val="20"/>
                              <w:szCs w:val="20"/>
                            </w:rPr>
                          </w:pPr>
                          <w:r w:rsidRPr="0044637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58B308"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" filled="f" stroked="f">
              <v:textbox style="mso-fit-shape-to-text:t" inset="0,0,20pt,15pt">
                <w:txbxContent>
                  <w:p w14:paraId="3928F038" w14:textId="72947539" w:rsidR="0044637C" w:rsidRPr="0044637C" w:rsidRDefault="0044637C" w:rsidP="0044637C">
                    <w:pPr>
                      <w:rPr>
                        <w:rFonts w:ascii="Aptos" w:eastAsia="Aptos" w:hAnsi="Aptos" w:cs="Aptos"/>
                        <w:noProof/>
                        <w:color w:val="000000"/>
                        <w:sz w:val="20"/>
                        <w:szCs w:val="20"/>
                      </w:rPr>
                    </w:pPr>
                    <w:r w:rsidRPr="0044637C">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CF9A" w14:textId="12BF934A" w:rsidR="0044637C" w:rsidRDefault="0044637C">
    <w:pPr>
      <w:pStyle w:val="Footer"/>
    </w:pPr>
    <w:r>
      <w:rPr>
        <w:noProof/>
      </w:rPr>
      <mc:AlternateContent>
        <mc:Choice Requires="wps">
          <w:drawing>
            <wp:anchor distT="0" distB="0" distL="0" distR="0" simplePos="0" relativeHeight="251658240" behindDoc="0" locked="0" layoutInCell="1" allowOverlap="1" wp14:anchorId="5A823B19" wp14:editId="0931BBC6">
              <wp:simplePos x="635" y="635"/>
              <wp:positionH relativeFrom="page">
                <wp:align>right</wp:align>
              </wp:positionH>
              <wp:positionV relativeFrom="page">
                <wp:align>bottom</wp:align>
              </wp:positionV>
              <wp:extent cx="1172210" cy="345440"/>
              <wp:effectExtent l="0" t="0" r="0" b="0"/>
              <wp:wrapNone/>
              <wp:docPr id="1314170133" name="Text Box 1" descr="Official Use Only">
                <a:extLst xmlns:a="http://schemas.openxmlformats.org/drawingml/2006/main">
                  <a:ext uri="{5AE41FA2-C0FF-4470-9BD4-5FADCA87CBE2}">
                    <aclsh:classification xmlns:aclsh="http://schemas.microsoft.com/office/drawing/2020/classificationShap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7CDCCCC1" w14:textId="3DA7FCC7" w:rsidR="0044637C" w:rsidRPr="0044637C" w:rsidRDefault="0044637C" w:rsidP="0044637C">
                          <w:pPr>
                            <w:rPr>
                              <w:rFonts w:ascii="Aptos" w:eastAsia="Aptos" w:hAnsi="Aptos" w:cs="Aptos"/>
                              <w:noProof/>
                              <w:color w:val="000000"/>
                              <w:sz w:val="20"/>
                              <w:szCs w:val="20"/>
                            </w:rPr>
                          </w:pPr>
                          <w:r w:rsidRPr="0044637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823B19"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" filled="f" stroked="f">
              <v:textbox style="mso-fit-shape-to-text:t" inset="0,0,20pt,15pt">
                <w:txbxContent>
                  <w:p w14:paraId="7CDCCCC1" w14:textId="3DA7FCC7" w:rsidR="0044637C" w:rsidRPr="0044637C" w:rsidRDefault="0044637C" w:rsidP="0044637C">
                    <w:pPr>
                      <w:rPr>
                        <w:rFonts w:ascii="Aptos" w:eastAsia="Aptos" w:hAnsi="Aptos" w:cs="Aptos"/>
                        <w:noProof/>
                        <w:color w:val="000000"/>
                        <w:sz w:val="20"/>
                        <w:szCs w:val="20"/>
                      </w:rPr>
                    </w:pPr>
                    <w:r w:rsidRPr="0044637C">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15EAE" w14:textId="77777777" w:rsidR="00C418DB" w:rsidRDefault="00C418DB" w:rsidP="0044637C">
      <w:r>
        <w:separator/>
      </w:r>
    </w:p>
  </w:footnote>
  <w:footnote w:type="continuationSeparator" w:id="0">
    <w:p w14:paraId="0461882A" w14:textId="77777777" w:rsidR="00C418DB" w:rsidRDefault="00C418DB" w:rsidP="00446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B4E"/>
    <w:multiLevelType w:val="multilevel"/>
    <w:tmpl w:val="D3BA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4197"/>
    <w:multiLevelType w:val="multilevel"/>
    <w:tmpl w:val="1ED4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D4F70"/>
    <w:multiLevelType w:val="hybridMultilevel"/>
    <w:tmpl w:val="843A0CF0"/>
    <w:lvl w:ilvl="0" w:tplc="5A222D9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505E6"/>
    <w:multiLevelType w:val="multilevel"/>
    <w:tmpl w:val="065C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16AAE"/>
    <w:multiLevelType w:val="multilevel"/>
    <w:tmpl w:val="E212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95C36"/>
    <w:multiLevelType w:val="multilevel"/>
    <w:tmpl w:val="AA86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7538E"/>
    <w:multiLevelType w:val="multilevel"/>
    <w:tmpl w:val="8A5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76549"/>
    <w:multiLevelType w:val="multilevel"/>
    <w:tmpl w:val="BCC2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36410"/>
    <w:multiLevelType w:val="multilevel"/>
    <w:tmpl w:val="24A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12EA0"/>
    <w:multiLevelType w:val="multilevel"/>
    <w:tmpl w:val="DBE8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84C15"/>
    <w:multiLevelType w:val="multilevel"/>
    <w:tmpl w:val="08A0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60195"/>
    <w:multiLevelType w:val="multilevel"/>
    <w:tmpl w:val="9FDC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A52D5"/>
    <w:multiLevelType w:val="multilevel"/>
    <w:tmpl w:val="0BD0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E00B81"/>
    <w:multiLevelType w:val="multilevel"/>
    <w:tmpl w:val="295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8328A"/>
    <w:multiLevelType w:val="multilevel"/>
    <w:tmpl w:val="0C90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0605DC"/>
    <w:multiLevelType w:val="multilevel"/>
    <w:tmpl w:val="0730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52DFE"/>
    <w:multiLevelType w:val="multilevel"/>
    <w:tmpl w:val="6CD8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92761"/>
    <w:multiLevelType w:val="multilevel"/>
    <w:tmpl w:val="F130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7158ED"/>
    <w:multiLevelType w:val="multilevel"/>
    <w:tmpl w:val="6C86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260FF"/>
    <w:multiLevelType w:val="hybridMultilevel"/>
    <w:tmpl w:val="DE642516"/>
    <w:lvl w:ilvl="0" w:tplc="0F30E542">
      <w:start w:val="1"/>
      <w:numFmt w:val="bullet"/>
      <w:lvlText w:val="•"/>
      <w:lvlJc w:val="left"/>
      <w:pPr>
        <w:ind w:left="720" w:hanging="360"/>
      </w:pPr>
    </w:lvl>
    <w:lvl w:ilvl="1" w:tplc="B9BC0554">
      <w:numFmt w:val="decimal"/>
      <w:lvlText w:val=""/>
      <w:lvlJc w:val="left"/>
    </w:lvl>
    <w:lvl w:ilvl="2" w:tplc="CEE81EF0">
      <w:numFmt w:val="decimal"/>
      <w:lvlText w:val=""/>
      <w:lvlJc w:val="left"/>
    </w:lvl>
    <w:lvl w:ilvl="3" w:tplc="200CB826">
      <w:numFmt w:val="decimal"/>
      <w:lvlText w:val=""/>
      <w:lvlJc w:val="left"/>
    </w:lvl>
    <w:lvl w:ilvl="4" w:tplc="38B29392">
      <w:numFmt w:val="decimal"/>
      <w:lvlText w:val=""/>
      <w:lvlJc w:val="left"/>
    </w:lvl>
    <w:lvl w:ilvl="5" w:tplc="B7CA5A62">
      <w:numFmt w:val="decimal"/>
      <w:lvlText w:val=""/>
      <w:lvlJc w:val="left"/>
    </w:lvl>
    <w:lvl w:ilvl="6" w:tplc="D0F01560">
      <w:numFmt w:val="decimal"/>
      <w:lvlText w:val=""/>
      <w:lvlJc w:val="left"/>
    </w:lvl>
    <w:lvl w:ilvl="7" w:tplc="4C5CC01E">
      <w:numFmt w:val="decimal"/>
      <w:lvlText w:val=""/>
      <w:lvlJc w:val="left"/>
    </w:lvl>
    <w:lvl w:ilvl="8" w:tplc="E9CE0A5A">
      <w:numFmt w:val="decimal"/>
      <w:lvlText w:val=""/>
      <w:lvlJc w:val="left"/>
    </w:lvl>
  </w:abstractNum>
  <w:abstractNum w:abstractNumId="20" w15:restartNumberingAfterBreak="0">
    <w:nsid w:val="271E5658"/>
    <w:multiLevelType w:val="multilevel"/>
    <w:tmpl w:val="5C20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C6B80"/>
    <w:multiLevelType w:val="hybridMultilevel"/>
    <w:tmpl w:val="B6707B4A"/>
    <w:lvl w:ilvl="0" w:tplc="6D446D22">
      <w:start w:val="1"/>
      <w:numFmt w:val="bullet"/>
      <w:lvlText w:val="•"/>
      <w:lvlJc w:val="left"/>
      <w:pPr>
        <w:ind w:left="720" w:hanging="360"/>
      </w:pPr>
    </w:lvl>
    <w:lvl w:ilvl="1" w:tplc="2862868A">
      <w:numFmt w:val="decimal"/>
      <w:lvlText w:val=""/>
      <w:lvlJc w:val="left"/>
    </w:lvl>
    <w:lvl w:ilvl="2" w:tplc="C68EB826">
      <w:numFmt w:val="decimal"/>
      <w:lvlText w:val=""/>
      <w:lvlJc w:val="left"/>
    </w:lvl>
    <w:lvl w:ilvl="3" w:tplc="0EB480E0">
      <w:numFmt w:val="decimal"/>
      <w:lvlText w:val=""/>
      <w:lvlJc w:val="left"/>
    </w:lvl>
    <w:lvl w:ilvl="4" w:tplc="8206A368">
      <w:numFmt w:val="decimal"/>
      <w:lvlText w:val=""/>
      <w:lvlJc w:val="left"/>
    </w:lvl>
    <w:lvl w:ilvl="5" w:tplc="4776ECE6">
      <w:numFmt w:val="decimal"/>
      <w:lvlText w:val=""/>
      <w:lvlJc w:val="left"/>
    </w:lvl>
    <w:lvl w:ilvl="6" w:tplc="F60E4040">
      <w:numFmt w:val="decimal"/>
      <w:lvlText w:val=""/>
      <w:lvlJc w:val="left"/>
    </w:lvl>
    <w:lvl w:ilvl="7" w:tplc="38E88BBA">
      <w:numFmt w:val="decimal"/>
      <w:lvlText w:val=""/>
      <w:lvlJc w:val="left"/>
    </w:lvl>
    <w:lvl w:ilvl="8" w:tplc="C674D7BC">
      <w:numFmt w:val="decimal"/>
      <w:lvlText w:val=""/>
      <w:lvlJc w:val="left"/>
    </w:lvl>
  </w:abstractNum>
  <w:abstractNum w:abstractNumId="22" w15:restartNumberingAfterBreak="0">
    <w:nsid w:val="28447DB0"/>
    <w:multiLevelType w:val="multilevel"/>
    <w:tmpl w:val="21C62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743762"/>
    <w:multiLevelType w:val="multilevel"/>
    <w:tmpl w:val="E15E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4087E"/>
    <w:multiLevelType w:val="multilevel"/>
    <w:tmpl w:val="156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5E1F01"/>
    <w:multiLevelType w:val="multilevel"/>
    <w:tmpl w:val="679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885F97"/>
    <w:multiLevelType w:val="multilevel"/>
    <w:tmpl w:val="D250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A8702F"/>
    <w:multiLevelType w:val="multilevel"/>
    <w:tmpl w:val="26C2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A1A8E"/>
    <w:multiLevelType w:val="multilevel"/>
    <w:tmpl w:val="E3A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41888"/>
    <w:multiLevelType w:val="multilevel"/>
    <w:tmpl w:val="82AA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E42577"/>
    <w:multiLevelType w:val="hybridMultilevel"/>
    <w:tmpl w:val="0452FB64"/>
    <w:lvl w:ilvl="0" w:tplc="5A222D9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757112"/>
    <w:multiLevelType w:val="multilevel"/>
    <w:tmpl w:val="358C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757E47"/>
    <w:multiLevelType w:val="multilevel"/>
    <w:tmpl w:val="9008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D06673"/>
    <w:multiLevelType w:val="multilevel"/>
    <w:tmpl w:val="3C2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CB7B76"/>
    <w:multiLevelType w:val="multilevel"/>
    <w:tmpl w:val="7FF8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D02892"/>
    <w:multiLevelType w:val="hybridMultilevel"/>
    <w:tmpl w:val="49E448AC"/>
    <w:lvl w:ilvl="0" w:tplc="5A222D9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8A26546"/>
    <w:multiLevelType w:val="multilevel"/>
    <w:tmpl w:val="191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355F0E"/>
    <w:multiLevelType w:val="multilevel"/>
    <w:tmpl w:val="E466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3F66D2"/>
    <w:multiLevelType w:val="multilevel"/>
    <w:tmpl w:val="AB7C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C04C65"/>
    <w:multiLevelType w:val="multilevel"/>
    <w:tmpl w:val="196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297775"/>
    <w:multiLevelType w:val="multilevel"/>
    <w:tmpl w:val="250A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E10C6F"/>
    <w:multiLevelType w:val="multilevel"/>
    <w:tmpl w:val="664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FB08C4"/>
    <w:multiLevelType w:val="multilevel"/>
    <w:tmpl w:val="F28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1268BD"/>
    <w:multiLevelType w:val="multilevel"/>
    <w:tmpl w:val="F1D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27272A"/>
    <w:multiLevelType w:val="multilevel"/>
    <w:tmpl w:val="7866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473774"/>
    <w:multiLevelType w:val="multilevel"/>
    <w:tmpl w:val="35BC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9146BA"/>
    <w:multiLevelType w:val="multilevel"/>
    <w:tmpl w:val="1D3A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EC687A"/>
    <w:multiLevelType w:val="multilevel"/>
    <w:tmpl w:val="DF5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162FD5"/>
    <w:multiLevelType w:val="multilevel"/>
    <w:tmpl w:val="92F6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7739AE"/>
    <w:multiLevelType w:val="multilevel"/>
    <w:tmpl w:val="26E6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8A0D50"/>
    <w:multiLevelType w:val="multilevel"/>
    <w:tmpl w:val="D15E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2A7FC5"/>
    <w:multiLevelType w:val="multilevel"/>
    <w:tmpl w:val="E660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C506EA"/>
    <w:multiLevelType w:val="multilevel"/>
    <w:tmpl w:val="DB36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8D7D32"/>
    <w:multiLevelType w:val="multilevel"/>
    <w:tmpl w:val="945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D15D83"/>
    <w:multiLevelType w:val="hybridMultilevel"/>
    <w:tmpl w:val="62FAB04C"/>
    <w:lvl w:ilvl="0" w:tplc="EEF60502">
      <w:start w:val="1"/>
      <w:numFmt w:val="bullet"/>
      <w:lvlText w:val="•"/>
      <w:lvlJc w:val="left"/>
      <w:pPr>
        <w:ind w:left="720" w:hanging="360"/>
      </w:pPr>
    </w:lvl>
    <w:lvl w:ilvl="1" w:tplc="58645832">
      <w:numFmt w:val="decimal"/>
      <w:lvlText w:val=""/>
      <w:lvlJc w:val="left"/>
    </w:lvl>
    <w:lvl w:ilvl="2" w:tplc="C7442BC2">
      <w:numFmt w:val="decimal"/>
      <w:lvlText w:val=""/>
      <w:lvlJc w:val="left"/>
    </w:lvl>
    <w:lvl w:ilvl="3" w:tplc="30D0F288">
      <w:numFmt w:val="decimal"/>
      <w:lvlText w:val=""/>
      <w:lvlJc w:val="left"/>
    </w:lvl>
    <w:lvl w:ilvl="4" w:tplc="E2CE8810">
      <w:numFmt w:val="decimal"/>
      <w:lvlText w:val=""/>
      <w:lvlJc w:val="left"/>
    </w:lvl>
    <w:lvl w:ilvl="5" w:tplc="38A22366">
      <w:numFmt w:val="decimal"/>
      <w:lvlText w:val=""/>
      <w:lvlJc w:val="left"/>
    </w:lvl>
    <w:lvl w:ilvl="6" w:tplc="8924A560">
      <w:numFmt w:val="decimal"/>
      <w:lvlText w:val=""/>
      <w:lvlJc w:val="left"/>
    </w:lvl>
    <w:lvl w:ilvl="7" w:tplc="FFA628A8">
      <w:numFmt w:val="decimal"/>
      <w:lvlText w:val=""/>
      <w:lvlJc w:val="left"/>
    </w:lvl>
    <w:lvl w:ilvl="8" w:tplc="319EC210">
      <w:numFmt w:val="decimal"/>
      <w:lvlText w:val=""/>
      <w:lvlJc w:val="left"/>
    </w:lvl>
  </w:abstractNum>
  <w:abstractNum w:abstractNumId="55" w15:restartNumberingAfterBreak="0">
    <w:nsid w:val="50B61764"/>
    <w:multiLevelType w:val="hybridMultilevel"/>
    <w:tmpl w:val="2BE2C832"/>
    <w:lvl w:ilvl="0" w:tplc="A38CBF04">
      <w:start w:val="1"/>
      <w:numFmt w:val="bullet"/>
      <w:lvlText w:val="•"/>
      <w:lvlJc w:val="left"/>
      <w:pPr>
        <w:ind w:left="720" w:hanging="360"/>
      </w:pPr>
    </w:lvl>
    <w:lvl w:ilvl="1" w:tplc="B2E81DF4">
      <w:numFmt w:val="decimal"/>
      <w:lvlText w:val=""/>
      <w:lvlJc w:val="left"/>
    </w:lvl>
    <w:lvl w:ilvl="2" w:tplc="62FE474C">
      <w:numFmt w:val="decimal"/>
      <w:lvlText w:val=""/>
      <w:lvlJc w:val="left"/>
    </w:lvl>
    <w:lvl w:ilvl="3" w:tplc="AD366782">
      <w:numFmt w:val="decimal"/>
      <w:lvlText w:val=""/>
      <w:lvlJc w:val="left"/>
    </w:lvl>
    <w:lvl w:ilvl="4" w:tplc="75FE041A">
      <w:numFmt w:val="decimal"/>
      <w:lvlText w:val=""/>
      <w:lvlJc w:val="left"/>
    </w:lvl>
    <w:lvl w:ilvl="5" w:tplc="DC24EEFC">
      <w:numFmt w:val="decimal"/>
      <w:lvlText w:val=""/>
      <w:lvlJc w:val="left"/>
    </w:lvl>
    <w:lvl w:ilvl="6" w:tplc="D8B660B4">
      <w:numFmt w:val="decimal"/>
      <w:lvlText w:val=""/>
      <w:lvlJc w:val="left"/>
    </w:lvl>
    <w:lvl w:ilvl="7" w:tplc="6E7045D2">
      <w:numFmt w:val="decimal"/>
      <w:lvlText w:val=""/>
      <w:lvlJc w:val="left"/>
    </w:lvl>
    <w:lvl w:ilvl="8" w:tplc="0D8E6CDA">
      <w:numFmt w:val="decimal"/>
      <w:lvlText w:val=""/>
      <w:lvlJc w:val="left"/>
    </w:lvl>
  </w:abstractNum>
  <w:abstractNum w:abstractNumId="56" w15:restartNumberingAfterBreak="0">
    <w:nsid w:val="520A1B1A"/>
    <w:multiLevelType w:val="multilevel"/>
    <w:tmpl w:val="BA7A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A33DF5"/>
    <w:multiLevelType w:val="multilevel"/>
    <w:tmpl w:val="242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2546DF"/>
    <w:multiLevelType w:val="multilevel"/>
    <w:tmpl w:val="3DD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AE280B"/>
    <w:multiLevelType w:val="multilevel"/>
    <w:tmpl w:val="E51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2346E1"/>
    <w:multiLevelType w:val="multilevel"/>
    <w:tmpl w:val="CD48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5038D7"/>
    <w:multiLevelType w:val="multilevel"/>
    <w:tmpl w:val="9F90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E21423"/>
    <w:multiLevelType w:val="multilevel"/>
    <w:tmpl w:val="613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CB6DA8"/>
    <w:multiLevelType w:val="multilevel"/>
    <w:tmpl w:val="4916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600234"/>
    <w:multiLevelType w:val="multilevel"/>
    <w:tmpl w:val="835C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967965"/>
    <w:multiLevelType w:val="multilevel"/>
    <w:tmpl w:val="D80E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E12561"/>
    <w:multiLevelType w:val="multilevel"/>
    <w:tmpl w:val="6C6C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26776E"/>
    <w:multiLevelType w:val="multilevel"/>
    <w:tmpl w:val="23F0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561690"/>
    <w:multiLevelType w:val="multilevel"/>
    <w:tmpl w:val="8C7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B51E0B"/>
    <w:multiLevelType w:val="multilevel"/>
    <w:tmpl w:val="7B4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BF014C"/>
    <w:multiLevelType w:val="multilevel"/>
    <w:tmpl w:val="EC42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DB4C59"/>
    <w:multiLevelType w:val="multilevel"/>
    <w:tmpl w:val="635C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E11AF3"/>
    <w:multiLevelType w:val="multilevel"/>
    <w:tmpl w:val="1E7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340CA1"/>
    <w:multiLevelType w:val="hybridMultilevel"/>
    <w:tmpl w:val="4386D89A"/>
    <w:lvl w:ilvl="0" w:tplc="1E18E376">
      <w:start w:val="1"/>
      <w:numFmt w:val="bullet"/>
      <w:lvlText w:val="•"/>
      <w:lvlJc w:val="left"/>
      <w:pPr>
        <w:ind w:left="720" w:hanging="360"/>
      </w:pPr>
    </w:lvl>
    <w:lvl w:ilvl="1" w:tplc="C660D5C4">
      <w:numFmt w:val="decimal"/>
      <w:lvlText w:val=""/>
      <w:lvlJc w:val="left"/>
    </w:lvl>
    <w:lvl w:ilvl="2" w:tplc="6268C72C">
      <w:numFmt w:val="decimal"/>
      <w:lvlText w:val=""/>
      <w:lvlJc w:val="left"/>
    </w:lvl>
    <w:lvl w:ilvl="3" w:tplc="754C7836">
      <w:numFmt w:val="decimal"/>
      <w:lvlText w:val=""/>
      <w:lvlJc w:val="left"/>
    </w:lvl>
    <w:lvl w:ilvl="4" w:tplc="1C52F2A8">
      <w:numFmt w:val="decimal"/>
      <w:lvlText w:val=""/>
      <w:lvlJc w:val="left"/>
    </w:lvl>
    <w:lvl w:ilvl="5" w:tplc="E0024234">
      <w:numFmt w:val="decimal"/>
      <w:lvlText w:val=""/>
      <w:lvlJc w:val="left"/>
    </w:lvl>
    <w:lvl w:ilvl="6" w:tplc="182CC012">
      <w:numFmt w:val="decimal"/>
      <w:lvlText w:val=""/>
      <w:lvlJc w:val="left"/>
    </w:lvl>
    <w:lvl w:ilvl="7" w:tplc="F2BCBE38">
      <w:numFmt w:val="decimal"/>
      <w:lvlText w:val=""/>
      <w:lvlJc w:val="left"/>
    </w:lvl>
    <w:lvl w:ilvl="8" w:tplc="23D85F3A">
      <w:numFmt w:val="decimal"/>
      <w:lvlText w:val=""/>
      <w:lvlJc w:val="left"/>
    </w:lvl>
  </w:abstractNum>
  <w:abstractNum w:abstractNumId="74" w15:restartNumberingAfterBreak="0">
    <w:nsid w:val="73211C41"/>
    <w:multiLevelType w:val="multilevel"/>
    <w:tmpl w:val="40E8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5A5E4C"/>
    <w:multiLevelType w:val="multilevel"/>
    <w:tmpl w:val="B19C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A86F10"/>
    <w:multiLevelType w:val="hybridMultilevel"/>
    <w:tmpl w:val="21FC3746"/>
    <w:lvl w:ilvl="0" w:tplc="C6345A2A">
      <w:start w:val="1"/>
      <w:numFmt w:val="bullet"/>
      <w:lvlText w:val="●"/>
      <w:lvlJc w:val="left"/>
      <w:pPr>
        <w:ind w:left="720" w:hanging="360"/>
      </w:pPr>
    </w:lvl>
    <w:lvl w:ilvl="1" w:tplc="7196E4A8">
      <w:start w:val="1"/>
      <w:numFmt w:val="bullet"/>
      <w:lvlText w:val="○"/>
      <w:lvlJc w:val="left"/>
      <w:pPr>
        <w:ind w:left="1440" w:hanging="360"/>
      </w:pPr>
    </w:lvl>
    <w:lvl w:ilvl="2" w:tplc="9B5A3244">
      <w:start w:val="1"/>
      <w:numFmt w:val="bullet"/>
      <w:lvlText w:val="■"/>
      <w:lvlJc w:val="left"/>
      <w:pPr>
        <w:ind w:left="2160" w:hanging="360"/>
      </w:pPr>
    </w:lvl>
    <w:lvl w:ilvl="3" w:tplc="AA168E70">
      <w:start w:val="1"/>
      <w:numFmt w:val="bullet"/>
      <w:lvlText w:val="●"/>
      <w:lvlJc w:val="left"/>
      <w:pPr>
        <w:ind w:left="2880" w:hanging="360"/>
      </w:pPr>
    </w:lvl>
    <w:lvl w:ilvl="4" w:tplc="F4423C2E">
      <w:start w:val="1"/>
      <w:numFmt w:val="bullet"/>
      <w:lvlText w:val="○"/>
      <w:lvlJc w:val="left"/>
      <w:pPr>
        <w:ind w:left="3600" w:hanging="360"/>
      </w:pPr>
    </w:lvl>
    <w:lvl w:ilvl="5" w:tplc="0C465AB6">
      <w:start w:val="1"/>
      <w:numFmt w:val="bullet"/>
      <w:lvlText w:val="■"/>
      <w:lvlJc w:val="left"/>
      <w:pPr>
        <w:ind w:left="4320" w:hanging="360"/>
      </w:pPr>
    </w:lvl>
    <w:lvl w:ilvl="6" w:tplc="699AA0D6">
      <w:start w:val="1"/>
      <w:numFmt w:val="bullet"/>
      <w:lvlText w:val="●"/>
      <w:lvlJc w:val="left"/>
      <w:pPr>
        <w:ind w:left="5040" w:hanging="360"/>
      </w:pPr>
    </w:lvl>
    <w:lvl w:ilvl="7" w:tplc="B0E61694">
      <w:start w:val="1"/>
      <w:numFmt w:val="bullet"/>
      <w:lvlText w:val="●"/>
      <w:lvlJc w:val="left"/>
      <w:pPr>
        <w:ind w:left="5760" w:hanging="360"/>
      </w:pPr>
    </w:lvl>
    <w:lvl w:ilvl="8" w:tplc="90B26AAE">
      <w:start w:val="1"/>
      <w:numFmt w:val="bullet"/>
      <w:lvlText w:val="●"/>
      <w:lvlJc w:val="left"/>
      <w:pPr>
        <w:ind w:left="6480" w:hanging="360"/>
      </w:pPr>
    </w:lvl>
  </w:abstractNum>
  <w:abstractNum w:abstractNumId="77" w15:restartNumberingAfterBreak="0">
    <w:nsid w:val="7E1C5633"/>
    <w:multiLevelType w:val="multilevel"/>
    <w:tmpl w:val="5238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526E32"/>
    <w:multiLevelType w:val="hybridMultilevel"/>
    <w:tmpl w:val="80CED34A"/>
    <w:lvl w:ilvl="0" w:tplc="788059AC">
      <w:start w:val="1"/>
      <w:numFmt w:val="bullet"/>
      <w:lvlText w:val="•"/>
      <w:lvlJc w:val="left"/>
      <w:pPr>
        <w:ind w:left="720" w:hanging="360"/>
      </w:pPr>
    </w:lvl>
    <w:lvl w:ilvl="1" w:tplc="7CAA2450">
      <w:numFmt w:val="decimal"/>
      <w:lvlText w:val=""/>
      <w:lvlJc w:val="left"/>
    </w:lvl>
    <w:lvl w:ilvl="2" w:tplc="5A560E68">
      <w:numFmt w:val="decimal"/>
      <w:lvlText w:val=""/>
      <w:lvlJc w:val="left"/>
    </w:lvl>
    <w:lvl w:ilvl="3" w:tplc="FF8C20CE">
      <w:numFmt w:val="decimal"/>
      <w:lvlText w:val=""/>
      <w:lvlJc w:val="left"/>
    </w:lvl>
    <w:lvl w:ilvl="4" w:tplc="FA5A1774">
      <w:numFmt w:val="decimal"/>
      <w:lvlText w:val=""/>
      <w:lvlJc w:val="left"/>
    </w:lvl>
    <w:lvl w:ilvl="5" w:tplc="FA8C97BC">
      <w:numFmt w:val="decimal"/>
      <w:lvlText w:val=""/>
      <w:lvlJc w:val="left"/>
    </w:lvl>
    <w:lvl w:ilvl="6" w:tplc="AD6E04F2">
      <w:numFmt w:val="decimal"/>
      <w:lvlText w:val=""/>
      <w:lvlJc w:val="left"/>
    </w:lvl>
    <w:lvl w:ilvl="7" w:tplc="2F16A9E4">
      <w:numFmt w:val="decimal"/>
      <w:lvlText w:val=""/>
      <w:lvlJc w:val="left"/>
    </w:lvl>
    <w:lvl w:ilvl="8" w:tplc="059A5818">
      <w:numFmt w:val="decimal"/>
      <w:lvlText w:val=""/>
      <w:lvlJc w:val="left"/>
    </w:lvl>
  </w:abstractNum>
  <w:num w:numId="1">
    <w:abstractNumId w:val="76"/>
    <w:lvlOverride w:ilvl="0">
      <w:startOverride w:val="1"/>
    </w:lvlOverride>
  </w:num>
  <w:num w:numId="2">
    <w:abstractNumId w:val="54"/>
    <w:lvlOverride w:ilvl="0">
      <w:startOverride w:val="1"/>
    </w:lvlOverride>
  </w:num>
  <w:num w:numId="3">
    <w:abstractNumId w:val="73"/>
    <w:lvlOverride w:ilvl="0">
      <w:startOverride w:val="1"/>
    </w:lvlOverride>
  </w:num>
  <w:num w:numId="4">
    <w:abstractNumId w:val="19"/>
    <w:lvlOverride w:ilvl="0">
      <w:startOverride w:val="1"/>
    </w:lvlOverride>
  </w:num>
  <w:num w:numId="5">
    <w:abstractNumId w:val="78"/>
    <w:lvlOverride w:ilvl="0">
      <w:startOverride w:val="1"/>
    </w:lvlOverride>
  </w:num>
  <w:num w:numId="6">
    <w:abstractNumId w:val="55"/>
    <w:lvlOverride w:ilvl="0">
      <w:startOverride w:val="1"/>
    </w:lvlOverride>
  </w:num>
  <w:num w:numId="7">
    <w:abstractNumId w:val="21"/>
    <w:lvlOverride w:ilvl="0">
      <w:startOverride w:val="1"/>
    </w:lvlOverride>
  </w:num>
  <w:num w:numId="8">
    <w:abstractNumId w:val="22"/>
  </w:num>
  <w:num w:numId="9">
    <w:abstractNumId w:val="5"/>
  </w:num>
  <w:num w:numId="10">
    <w:abstractNumId w:val="43"/>
  </w:num>
  <w:num w:numId="11">
    <w:abstractNumId w:val="30"/>
  </w:num>
  <w:num w:numId="12">
    <w:abstractNumId w:val="35"/>
  </w:num>
  <w:num w:numId="13">
    <w:abstractNumId w:val="2"/>
  </w:num>
  <w:num w:numId="14">
    <w:abstractNumId w:val="7"/>
  </w:num>
  <w:num w:numId="15">
    <w:abstractNumId w:val="13"/>
  </w:num>
  <w:num w:numId="16">
    <w:abstractNumId w:val="69"/>
  </w:num>
  <w:num w:numId="17">
    <w:abstractNumId w:val="34"/>
  </w:num>
  <w:num w:numId="18">
    <w:abstractNumId w:val="14"/>
  </w:num>
  <w:num w:numId="19">
    <w:abstractNumId w:val="1"/>
  </w:num>
  <w:num w:numId="20">
    <w:abstractNumId w:val="44"/>
  </w:num>
  <w:num w:numId="21">
    <w:abstractNumId w:val="75"/>
  </w:num>
  <w:num w:numId="22">
    <w:abstractNumId w:val="4"/>
  </w:num>
  <w:num w:numId="23">
    <w:abstractNumId w:val="41"/>
  </w:num>
  <w:num w:numId="24">
    <w:abstractNumId w:val="77"/>
  </w:num>
  <w:num w:numId="25">
    <w:abstractNumId w:val="20"/>
  </w:num>
  <w:num w:numId="26">
    <w:abstractNumId w:val="50"/>
  </w:num>
  <w:num w:numId="27">
    <w:abstractNumId w:val="27"/>
  </w:num>
  <w:num w:numId="28">
    <w:abstractNumId w:val="38"/>
  </w:num>
  <w:num w:numId="29">
    <w:abstractNumId w:val="60"/>
  </w:num>
  <w:num w:numId="30">
    <w:abstractNumId w:val="28"/>
  </w:num>
  <w:num w:numId="31">
    <w:abstractNumId w:val="53"/>
  </w:num>
  <w:num w:numId="32">
    <w:abstractNumId w:val="10"/>
  </w:num>
  <w:num w:numId="33">
    <w:abstractNumId w:val="61"/>
  </w:num>
  <w:num w:numId="34">
    <w:abstractNumId w:val="68"/>
  </w:num>
  <w:num w:numId="35">
    <w:abstractNumId w:val="29"/>
  </w:num>
  <w:num w:numId="36">
    <w:abstractNumId w:val="58"/>
  </w:num>
  <w:num w:numId="37">
    <w:abstractNumId w:val="57"/>
  </w:num>
  <w:num w:numId="38">
    <w:abstractNumId w:val="56"/>
  </w:num>
  <w:num w:numId="39">
    <w:abstractNumId w:val="74"/>
  </w:num>
  <w:num w:numId="40">
    <w:abstractNumId w:val="26"/>
  </w:num>
  <w:num w:numId="41">
    <w:abstractNumId w:val="42"/>
  </w:num>
  <w:num w:numId="42">
    <w:abstractNumId w:val="65"/>
  </w:num>
  <w:num w:numId="43">
    <w:abstractNumId w:val="66"/>
  </w:num>
  <w:num w:numId="44">
    <w:abstractNumId w:val="15"/>
  </w:num>
  <w:num w:numId="45">
    <w:abstractNumId w:val="12"/>
  </w:num>
  <w:num w:numId="46">
    <w:abstractNumId w:val="23"/>
  </w:num>
  <w:num w:numId="47">
    <w:abstractNumId w:val="18"/>
  </w:num>
  <w:num w:numId="48">
    <w:abstractNumId w:val="63"/>
  </w:num>
  <w:num w:numId="49">
    <w:abstractNumId w:val="51"/>
  </w:num>
  <w:num w:numId="50">
    <w:abstractNumId w:val="37"/>
  </w:num>
  <w:num w:numId="51">
    <w:abstractNumId w:val="40"/>
  </w:num>
  <w:num w:numId="52">
    <w:abstractNumId w:val="59"/>
  </w:num>
  <w:num w:numId="53">
    <w:abstractNumId w:val="52"/>
  </w:num>
  <w:num w:numId="54">
    <w:abstractNumId w:val="24"/>
  </w:num>
  <w:num w:numId="55">
    <w:abstractNumId w:val="17"/>
  </w:num>
  <w:num w:numId="56">
    <w:abstractNumId w:val="64"/>
  </w:num>
  <w:num w:numId="57">
    <w:abstractNumId w:val="45"/>
  </w:num>
  <w:num w:numId="58">
    <w:abstractNumId w:val="71"/>
  </w:num>
  <w:num w:numId="59">
    <w:abstractNumId w:val="3"/>
  </w:num>
  <w:num w:numId="60">
    <w:abstractNumId w:val="6"/>
  </w:num>
  <w:num w:numId="61">
    <w:abstractNumId w:val="11"/>
  </w:num>
  <w:num w:numId="62">
    <w:abstractNumId w:val="16"/>
  </w:num>
  <w:num w:numId="63">
    <w:abstractNumId w:val="8"/>
  </w:num>
  <w:num w:numId="64">
    <w:abstractNumId w:val="47"/>
  </w:num>
  <w:num w:numId="65">
    <w:abstractNumId w:val="36"/>
  </w:num>
  <w:num w:numId="66">
    <w:abstractNumId w:val="49"/>
  </w:num>
  <w:num w:numId="67">
    <w:abstractNumId w:val="31"/>
  </w:num>
  <w:num w:numId="68">
    <w:abstractNumId w:val="46"/>
  </w:num>
  <w:num w:numId="69">
    <w:abstractNumId w:val="0"/>
  </w:num>
  <w:num w:numId="70">
    <w:abstractNumId w:val="62"/>
  </w:num>
  <w:num w:numId="71">
    <w:abstractNumId w:val="9"/>
  </w:num>
  <w:num w:numId="72">
    <w:abstractNumId w:val="67"/>
  </w:num>
  <w:num w:numId="73">
    <w:abstractNumId w:val="48"/>
  </w:num>
  <w:num w:numId="74">
    <w:abstractNumId w:val="25"/>
  </w:num>
  <w:num w:numId="75">
    <w:abstractNumId w:val="39"/>
  </w:num>
  <w:num w:numId="76">
    <w:abstractNumId w:val="32"/>
  </w:num>
  <w:num w:numId="77">
    <w:abstractNumId w:val="33"/>
  </w:num>
  <w:num w:numId="78">
    <w:abstractNumId w:val="72"/>
  </w:num>
  <w:num w:numId="79">
    <w:abstractNumId w:val="7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13"/>
    <w:rsid w:val="00014CD1"/>
    <w:rsid w:val="00016460"/>
    <w:rsid w:val="00021DB9"/>
    <w:rsid w:val="000437D0"/>
    <w:rsid w:val="00043D73"/>
    <w:rsid w:val="00044682"/>
    <w:rsid w:val="00062F9C"/>
    <w:rsid w:val="00063B50"/>
    <w:rsid w:val="00064C74"/>
    <w:rsid w:val="00070DA3"/>
    <w:rsid w:val="00074D37"/>
    <w:rsid w:val="000755AD"/>
    <w:rsid w:val="000849BF"/>
    <w:rsid w:val="000A20DA"/>
    <w:rsid w:val="000B0A8E"/>
    <w:rsid w:val="000B2E97"/>
    <w:rsid w:val="000C23C9"/>
    <w:rsid w:val="000C60C7"/>
    <w:rsid w:val="000E60E6"/>
    <w:rsid w:val="00107E4B"/>
    <w:rsid w:val="00116EDA"/>
    <w:rsid w:val="00123B1E"/>
    <w:rsid w:val="00123C41"/>
    <w:rsid w:val="0012423A"/>
    <w:rsid w:val="0012594E"/>
    <w:rsid w:val="00130A11"/>
    <w:rsid w:val="00140F96"/>
    <w:rsid w:val="001449FF"/>
    <w:rsid w:val="001525B4"/>
    <w:rsid w:val="00155687"/>
    <w:rsid w:val="00181C0F"/>
    <w:rsid w:val="001850B8"/>
    <w:rsid w:val="00196014"/>
    <w:rsid w:val="001C4397"/>
    <w:rsid w:val="001C7C88"/>
    <w:rsid w:val="001D1431"/>
    <w:rsid w:val="001D38FD"/>
    <w:rsid w:val="001D51C1"/>
    <w:rsid w:val="001E0C9F"/>
    <w:rsid w:val="001F0B2C"/>
    <w:rsid w:val="00222917"/>
    <w:rsid w:val="002264C3"/>
    <w:rsid w:val="00241E7D"/>
    <w:rsid w:val="0024421D"/>
    <w:rsid w:val="00245CBE"/>
    <w:rsid w:val="0025720B"/>
    <w:rsid w:val="00295024"/>
    <w:rsid w:val="002A22BF"/>
    <w:rsid w:val="002A3DBF"/>
    <w:rsid w:val="002D4D7B"/>
    <w:rsid w:val="002E6BA4"/>
    <w:rsid w:val="002F1227"/>
    <w:rsid w:val="002F5E7C"/>
    <w:rsid w:val="0030268B"/>
    <w:rsid w:val="0030550B"/>
    <w:rsid w:val="00327C83"/>
    <w:rsid w:val="00362C28"/>
    <w:rsid w:val="00365581"/>
    <w:rsid w:val="00372701"/>
    <w:rsid w:val="003735DB"/>
    <w:rsid w:val="00375081"/>
    <w:rsid w:val="00376F2E"/>
    <w:rsid w:val="003847E8"/>
    <w:rsid w:val="003A56B7"/>
    <w:rsid w:val="003B3950"/>
    <w:rsid w:val="003C10F2"/>
    <w:rsid w:val="003C256B"/>
    <w:rsid w:val="003C35BE"/>
    <w:rsid w:val="003C57A6"/>
    <w:rsid w:val="003D6C4E"/>
    <w:rsid w:val="003E0A13"/>
    <w:rsid w:val="003F3F92"/>
    <w:rsid w:val="0040341C"/>
    <w:rsid w:val="00405310"/>
    <w:rsid w:val="00407DE1"/>
    <w:rsid w:val="00423B3D"/>
    <w:rsid w:val="00430622"/>
    <w:rsid w:val="004329E4"/>
    <w:rsid w:val="00440F22"/>
    <w:rsid w:val="004461B1"/>
    <w:rsid w:val="0044637C"/>
    <w:rsid w:val="00446A12"/>
    <w:rsid w:val="00451867"/>
    <w:rsid w:val="00452AC0"/>
    <w:rsid w:val="004711AF"/>
    <w:rsid w:val="004947A0"/>
    <w:rsid w:val="004A37D3"/>
    <w:rsid w:val="004B0641"/>
    <w:rsid w:val="004B0E0B"/>
    <w:rsid w:val="004B0E56"/>
    <w:rsid w:val="004B0F2F"/>
    <w:rsid w:val="004B4E54"/>
    <w:rsid w:val="004B7F76"/>
    <w:rsid w:val="004E4A49"/>
    <w:rsid w:val="004F1263"/>
    <w:rsid w:val="00501AC8"/>
    <w:rsid w:val="0051788F"/>
    <w:rsid w:val="00521E27"/>
    <w:rsid w:val="00526F52"/>
    <w:rsid w:val="00531F78"/>
    <w:rsid w:val="00540EBA"/>
    <w:rsid w:val="0054213D"/>
    <w:rsid w:val="00547E0A"/>
    <w:rsid w:val="00556B32"/>
    <w:rsid w:val="00561B6C"/>
    <w:rsid w:val="005734AF"/>
    <w:rsid w:val="00587999"/>
    <w:rsid w:val="00593D5C"/>
    <w:rsid w:val="005B1103"/>
    <w:rsid w:val="005C505B"/>
    <w:rsid w:val="005D12B9"/>
    <w:rsid w:val="005E341C"/>
    <w:rsid w:val="00612AEC"/>
    <w:rsid w:val="00620229"/>
    <w:rsid w:val="006210DC"/>
    <w:rsid w:val="00625A20"/>
    <w:rsid w:val="00656F3A"/>
    <w:rsid w:val="00662F62"/>
    <w:rsid w:val="006635FE"/>
    <w:rsid w:val="0066435F"/>
    <w:rsid w:val="006736BB"/>
    <w:rsid w:val="00673DDA"/>
    <w:rsid w:val="00683397"/>
    <w:rsid w:val="00694ADC"/>
    <w:rsid w:val="006A58DB"/>
    <w:rsid w:val="006A76FE"/>
    <w:rsid w:val="006B2132"/>
    <w:rsid w:val="006C3BAB"/>
    <w:rsid w:val="006D1490"/>
    <w:rsid w:val="006E4D2B"/>
    <w:rsid w:val="006E65B6"/>
    <w:rsid w:val="00701DBD"/>
    <w:rsid w:val="007111D3"/>
    <w:rsid w:val="0071195D"/>
    <w:rsid w:val="0072280F"/>
    <w:rsid w:val="007240AC"/>
    <w:rsid w:val="0072587E"/>
    <w:rsid w:val="00726CE8"/>
    <w:rsid w:val="00745D97"/>
    <w:rsid w:val="007632DE"/>
    <w:rsid w:val="00775118"/>
    <w:rsid w:val="007914E7"/>
    <w:rsid w:val="007A4F5D"/>
    <w:rsid w:val="007C1B7F"/>
    <w:rsid w:val="007E279F"/>
    <w:rsid w:val="007E4FD2"/>
    <w:rsid w:val="00803213"/>
    <w:rsid w:val="00807EF1"/>
    <w:rsid w:val="008234F3"/>
    <w:rsid w:val="0083009C"/>
    <w:rsid w:val="008333AF"/>
    <w:rsid w:val="0083442C"/>
    <w:rsid w:val="00865601"/>
    <w:rsid w:val="00892DD4"/>
    <w:rsid w:val="008A6E72"/>
    <w:rsid w:val="008A79D3"/>
    <w:rsid w:val="008B41F0"/>
    <w:rsid w:val="008B5148"/>
    <w:rsid w:val="008C7C84"/>
    <w:rsid w:val="008D5B92"/>
    <w:rsid w:val="008D7F47"/>
    <w:rsid w:val="008E355C"/>
    <w:rsid w:val="008E6709"/>
    <w:rsid w:val="008F2D81"/>
    <w:rsid w:val="008F6A7F"/>
    <w:rsid w:val="00907059"/>
    <w:rsid w:val="009602F4"/>
    <w:rsid w:val="009656D0"/>
    <w:rsid w:val="00970F0D"/>
    <w:rsid w:val="00993791"/>
    <w:rsid w:val="0099425C"/>
    <w:rsid w:val="009A18CB"/>
    <w:rsid w:val="009E27FD"/>
    <w:rsid w:val="009E6272"/>
    <w:rsid w:val="009E7B24"/>
    <w:rsid w:val="00A018D5"/>
    <w:rsid w:val="00A138F5"/>
    <w:rsid w:val="00A237E8"/>
    <w:rsid w:val="00A24BB2"/>
    <w:rsid w:val="00A5498B"/>
    <w:rsid w:val="00A61FBE"/>
    <w:rsid w:val="00AB21DA"/>
    <w:rsid w:val="00AC7842"/>
    <w:rsid w:val="00AC7DE4"/>
    <w:rsid w:val="00AE6C22"/>
    <w:rsid w:val="00AE722C"/>
    <w:rsid w:val="00B06F64"/>
    <w:rsid w:val="00B11347"/>
    <w:rsid w:val="00B139E7"/>
    <w:rsid w:val="00B16380"/>
    <w:rsid w:val="00B2365F"/>
    <w:rsid w:val="00B4083D"/>
    <w:rsid w:val="00B50A72"/>
    <w:rsid w:val="00B54BC1"/>
    <w:rsid w:val="00B55471"/>
    <w:rsid w:val="00B664F1"/>
    <w:rsid w:val="00B66716"/>
    <w:rsid w:val="00B70D36"/>
    <w:rsid w:val="00B742DA"/>
    <w:rsid w:val="00B7573E"/>
    <w:rsid w:val="00B8777B"/>
    <w:rsid w:val="00B93E0A"/>
    <w:rsid w:val="00B94B0A"/>
    <w:rsid w:val="00BB2CCE"/>
    <w:rsid w:val="00BD3364"/>
    <w:rsid w:val="00BE1156"/>
    <w:rsid w:val="00BF6B82"/>
    <w:rsid w:val="00C0187C"/>
    <w:rsid w:val="00C02908"/>
    <w:rsid w:val="00C11152"/>
    <w:rsid w:val="00C142E3"/>
    <w:rsid w:val="00C15663"/>
    <w:rsid w:val="00C21FD7"/>
    <w:rsid w:val="00C2250B"/>
    <w:rsid w:val="00C40107"/>
    <w:rsid w:val="00C418DB"/>
    <w:rsid w:val="00C46C67"/>
    <w:rsid w:val="00C62855"/>
    <w:rsid w:val="00C71F03"/>
    <w:rsid w:val="00C73048"/>
    <w:rsid w:val="00C773B0"/>
    <w:rsid w:val="00C84FEC"/>
    <w:rsid w:val="00C869AC"/>
    <w:rsid w:val="00C96759"/>
    <w:rsid w:val="00CA4D05"/>
    <w:rsid w:val="00CF3EE0"/>
    <w:rsid w:val="00CF6520"/>
    <w:rsid w:val="00D20B63"/>
    <w:rsid w:val="00D2266B"/>
    <w:rsid w:val="00D266F7"/>
    <w:rsid w:val="00D37070"/>
    <w:rsid w:val="00D50182"/>
    <w:rsid w:val="00D649E6"/>
    <w:rsid w:val="00D652ED"/>
    <w:rsid w:val="00D7303A"/>
    <w:rsid w:val="00D85BDF"/>
    <w:rsid w:val="00D87652"/>
    <w:rsid w:val="00D93585"/>
    <w:rsid w:val="00D94FD0"/>
    <w:rsid w:val="00DA0CE6"/>
    <w:rsid w:val="00DB2A17"/>
    <w:rsid w:val="00DB4D9F"/>
    <w:rsid w:val="00DC148B"/>
    <w:rsid w:val="00DC3668"/>
    <w:rsid w:val="00DE2576"/>
    <w:rsid w:val="00E00169"/>
    <w:rsid w:val="00E0146E"/>
    <w:rsid w:val="00E103E3"/>
    <w:rsid w:val="00E24CAE"/>
    <w:rsid w:val="00E338D3"/>
    <w:rsid w:val="00E52CF8"/>
    <w:rsid w:val="00E54D46"/>
    <w:rsid w:val="00EE3205"/>
    <w:rsid w:val="00F12361"/>
    <w:rsid w:val="00F158D9"/>
    <w:rsid w:val="00F22337"/>
    <w:rsid w:val="00F2654E"/>
    <w:rsid w:val="00F34608"/>
    <w:rsid w:val="00F366A2"/>
    <w:rsid w:val="00F3727A"/>
    <w:rsid w:val="00F41E35"/>
    <w:rsid w:val="00F53D8E"/>
    <w:rsid w:val="00F759F2"/>
    <w:rsid w:val="00F76737"/>
    <w:rsid w:val="00F769AD"/>
    <w:rsid w:val="00F77403"/>
    <w:rsid w:val="00F83888"/>
    <w:rsid w:val="00F84DA5"/>
    <w:rsid w:val="00F84E3B"/>
    <w:rsid w:val="00F95969"/>
    <w:rsid w:val="00F976CD"/>
    <w:rsid w:val="00FA0AF3"/>
    <w:rsid w:val="00FA694B"/>
    <w:rsid w:val="00FA6A55"/>
    <w:rsid w:val="00FD51D8"/>
    <w:rsid w:val="00FE11C8"/>
    <w:rsid w:val="00FE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8EDC"/>
  <w15:chartTrackingRefBased/>
  <w15:docId w15:val="{5038B1DB-FF8B-DC4D-9A4A-D042E315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03213"/>
    <w:pPr>
      <w:widowControl w:val="0"/>
      <w:autoSpaceDE w:val="0"/>
      <w:autoSpaceDN w:val="0"/>
    </w:pPr>
    <w:rPr>
      <w:rFonts w:ascii="Times New Roman" w:eastAsia="Times New Roman" w:hAnsi="Times New Roman" w:cs="Times New Roman"/>
      <w:sz w:val="22"/>
      <w:szCs w:val="22"/>
    </w:rPr>
  </w:style>
  <w:style w:type="paragraph" w:styleId="Heading5">
    <w:name w:val="heading 5"/>
    <w:basedOn w:val="Normal"/>
    <w:link w:val="Heading5Char"/>
    <w:uiPriority w:val="1"/>
    <w:qFormat/>
    <w:rsid w:val="00803213"/>
    <w:pPr>
      <w:ind w:left="732"/>
      <w:jc w:val="center"/>
      <w:outlineLvl w:val="4"/>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803213"/>
    <w:rPr>
      <w:rFonts w:ascii="Times New Roman" w:eastAsia="Times New Roman" w:hAnsi="Times New Roman" w:cs="Times New Roman"/>
      <w:b/>
      <w:bCs/>
      <w:sz w:val="32"/>
      <w:szCs w:val="32"/>
      <w:lang w:val="en-US"/>
    </w:rPr>
  </w:style>
  <w:style w:type="paragraph" w:customStyle="1" w:styleId="TableParagraph">
    <w:name w:val="Table Paragraph"/>
    <w:basedOn w:val="Normal"/>
    <w:uiPriority w:val="1"/>
    <w:qFormat/>
    <w:rsid w:val="00803213"/>
  </w:style>
  <w:style w:type="table" w:customStyle="1" w:styleId="GridTable1Light1">
    <w:name w:val="Grid Table 1 Light1"/>
    <w:basedOn w:val="TableNormal"/>
    <w:next w:val="GridTable1Light"/>
    <w:uiPriority w:val="46"/>
    <w:rsid w:val="00803213"/>
    <w:rPr>
      <w:rFonts w:ascii="Arial" w:eastAsia="Arial" w:hAnsi="Arial"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8032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03213"/>
    <w:rPr>
      <w:sz w:val="18"/>
      <w:szCs w:val="18"/>
    </w:rPr>
  </w:style>
  <w:style w:type="character" w:customStyle="1" w:styleId="BalloonTextChar">
    <w:name w:val="Balloon Text Char"/>
    <w:basedOn w:val="DefaultParagraphFont"/>
    <w:link w:val="BalloonText"/>
    <w:uiPriority w:val="99"/>
    <w:semiHidden/>
    <w:rsid w:val="00803213"/>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593D5C"/>
    <w:rPr>
      <w:sz w:val="16"/>
      <w:szCs w:val="16"/>
    </w:rPr>
  </w:style>
  <w:style w:type="paragraph" w:styleId="CommentText">
    <w:name w:val="annotation text"/>
    <w:basedOn w:val="Normal"/>
    <w:link w:val="CommentTextChar"/>
    <w:uiPriority w:val="99"/>
    <w:unhideWhenUsed/>
    <w:rsid w:val="00593D5C"/>
    <w:rPr>
      <w:sz w:val="20"/>
      <w:szCs w:val="20"/>
    </w:rPr>
  </w:style>
  <w:style w:type="character" w:customStyle="1" w:styleId="CommentTextChar">
    <w:name w:val="Comment Text Char"/>
    <w:basedOn w:val="DefaultParagraphFont"/>
    <w:link w:val="CommentText"/>
    <w:uiPriority w:val="99"/>
    <w:rsid w:val="00593D5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3D5C"/>
    <w:rPr>
      <w:b/>
      <w:bCs/>
    </w:rPr>
  </w:style>
  <w:style w:type="character" w:customStyle="1" w:styleId="CommentSubjectChar">
    <w:name w:val="Comment Subject Char"/>
    <w:basedOn w:val="CommentTextChar"/>
    <w:link w:val="CommentSubject"/>
    <w:uiPriority w:val="99"/>
    <w:semiHidden/>
    <w:rsid w:val="00593D5C"/>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25720B"/>
    <w:pPr>
      <w:ind w:left="720"/>
      <w:contextualSpacing/>
    </w:pPr>
  </w:style>
  <w:style w:type="paragraph" w:styleId="Footer">
    <w:name w:val="footer"/>
    <w:basedOn w:val="Normal"/>
    <w:link w:val="FooterChar"/>
    <w:uiPriority w:val="99"/>
    <w:unhideWhenUsed/>
    <w:rsid w:val="0044637C"/>
    <w:pPr>
      <w:tabs>
        <w:tab w:val="center" w:pos="4680"/>
        <w:tab w:val="right" w:pos="9360"/>
      </w:tabs>
    </w:pPr>
  </w:style>
  <w:style w:type="character" w:customStyle="1" w:styleId="FooterChar">
    <w:name w:val="Footer Char"/>
    <w:basedOn w:val="DefaultParagraphFont"/>
    <w:link w:val="Footer"/>
    <w:uiPriority w:val="99"/>
    <w:rsid w:val="0044637C"/>
    <w:rPr>
      <w:rFonts w:ascii="Times New Roman" w:eastAsia="Times New Roman" w:hAnsi="Times New Roman" w:cs="Times New Roman"/>
      <w:sz w:val="22"/>
      <w:szCs w:val="22"/>
    </w:rPr>
  </w:style>
  <w:style w:type="paragraph" w:styleId="Revision">
    <w:name w:val="Revision"/>
    <w:hidden/>
    <w:uiPriority w:val="99"/>
    <w:semiHidden/>
    <w:rsid w:val="00016460"/>
    <w:rPr>
      <w:rFonts w:ascii="Times New Roman" w:eastAsia="Times New Roman" w:hAnsi="Times New Roman" w:cs="Times New Roman"/>
      <w:sz w:val="22"/>
      <w:szCs w:val="22"/>
    </w:rPr>
  </w:style>
  <w:style w:type="paragraph" w:styleId="Header">
    <w:name w:val="header"/>
    <w:basedOn w:val="Normal"/>
    <w:link w:val="HeaderChar"/>
    <w:uiPriority w:val="99"/>
    <w:semiHidden/>
    <w:unhideWhenUsed/>
    <w:rsid w:val="00405310"/>
    <w:pPr>
      <w:tabs>
        <w:tab w:val="center" w:pos="4680"/>
        <w:tab w:val="right" w:pos="9360"/>
      </w:tabs>
    </w:pPr>
  </w:style>
  <w:style w:type="character" w:customStyle="1" w:styleId="HeaderChar">
    <w:name w:val="Header Char"/>
    <w:basedOn w:val="DefaultParagraphFont"/>
    <w:link w:val="Header"/>
    <w:uiPriority w:val="99"/>
    <w:semiHidden/>
    <w:rsid w:val="00405310"/>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3091">
      <w:bodyDiv w:val="1"/>
      <w:marLeft w:val="0"/>
      <w:marRight w:val="0"/>
      <w:marTop w:val="0"/>
      <w:marBottom w:val="0"/>
      <w:divBdr>
        <w:top w:val="none" w:sz="0" w:space="0" w:color="auto"/>
        <w:left w:val="none" w:sz="0" w:space="0" w:color="auto"/>
        <w:bottom w:val="none" w:sz="0" w:space="0" w:color="auto"/>
        <w:right w:val="none" w:sz="0" w:space="0" w:color="auto"/>
      </w:divBdr>
    </w:div>
    <w:div w:id="17001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59CE-5E6C-4B86-A4FD-C6634A7F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0F071-BFC4-4D95-98FC-BA529A361CD0}">
  <ds:schemaRefs>
    <ds:schemaRef ds:uri="http://schemas.microsoft.com/sharepoint/v3/contenttype/forms"/>
  </ds:schemaRefs>
</ds:datastoreItem>
</file>

<file path=customXml/itemProps3.xml><?xml version="1.0" encoding="utf-8"?>
<ds:datastoreItem xmlns:ds="http://schemas.openxmlformats.org/officeDocument/2006/customXml" ds:itemID="{5F6791EC-283A-4DDF-9239-8BE1B3C2F04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BC7F8539-AC1E-4DE4-AD36-27398027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4429</Words>
  <Characters>25249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 RS Vladimir Jegdic</dc:creator>
  <cp:keywords/>
  <dc:description/>
  <cp:lastModifiedBy>Đorđe Perišić</cp:lastModifiedBy>
  <cp:revision>4</cp:revision>
  <dcterms:created xsi:type="dcterms:W3CDTF">2026-06-08T09:59:00Z</dcterms:created>
  <dcterms:modified xsi:type="dcterms:W3CDTF">2026-06-08T10:21:00Z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4e54a515,40299c47,51bcdb1</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2026-05-28T15:33:56Z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d5e41dc1-0aa5-47ef-91bf-222b359baa17</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