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0.xml" ContentType="application/vnd.openxmlformats-officedocument.wordprocessingml.commentsIds+xml"/>
  <Override PartName="/word/commentsExtensible0.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B862C" w14:textId="77777777" w:rsidR="001E48C8" w:rsidRPr="000B714F" w:rsidRDefault="00A0057A">
      <w:pPr>
        <w:spacing w:after="80"/>
        <w:jc w:val="center"/>
        <w:rPr>
          <w:rFonts w:ascii="Times New Roman" w:hAnsi="Times New Roman" w:cs="Times New Roman"/>
        </w:rPr>
      </w:pPr>
      <w:r>
        <w:rPr>
          <w:rFonts w:ascii="Times New Roman" w:hAnsi="Times New Roman" w:cs="Times New Roman"/>
          <w:b/>
          <w:bCs/>
        </w:rPr>
        <w:t>Serbia Competitive Agriculture Project (SCAP)</w:t>
      </w:r>
    </w:p>
    <w:p w14:paraId="3A571110" w14:textId="77777777" w:rsidR="00B01ADA" w:rsidRPr="000B714F" w:rsidRDefault="00B01ADA">
      <w:pPr>
        <w:spacing w:after="80"/>
        <w:jc w:val="center"/>
        <w:rPr>
          <w:rFonts w:ascii="Times New Roman" w:hAnsi="Times New Roman" w:cs="Times New Roman"/>
          <w:b/>
          <w:bCs/>
        </w:rPr>
      </w:pPr>
    </w:p>
    <w:p w14:paraId="39366CCD" w14:textId="77777777" w:rsidR="00B01ADA" w:rsidRPr="000B714F" w:rsidRDefault="00A0057A" w:rsidP="00B01ADA">
      <w:pPr>
        <w:spacing w:after="80"/>
        <w:jc w:val="center"/>
        <w:rPr>
          <w:rFonts w:ascii="Times New Roman" w:hAnsi="Times New Roman" w:cs="Times New Roman"/>
        </w:rPr>
      </w:pPr>
      <w:r>
        <w:rPr>
          <w:rFonts w:ascii="Times New Roman" w:hAnsi="Times New Roman" w:cs="Times New Roman"/>
          <w:b/>
          <w:bCs/>
        </w:rPr>
        <w:t>Terms of Reference</w:t>
      </w:r>
    </w:p>
    <w:p w14:paraId="77F8D414" w14:textId="77777777" w:rsidR="00B01ADA" w:rsidRPr="000B714F" w:rsidRDefault="00B01ADA" w:rsidP="00B01ADA">
      <w:pPr>
        <w:spacing w:after="80"/>
        <w:jc w:val="center"/>
        <w:rPr>
          <w:rFonts w:ascii="Times New Roman" w:hAnsi="Times New Roman" w:cs="Times New Roman"/>
        </w:rPr>
      </w:pPr>
    </w:p>
    <w:p w14:paraId="1FECFAC7" w14:textId="50B624EB" w:rsidR="001E48C8" w:rsidRPr="000B714F" w:rsidRDefault="00014998" w:rsidP="00014998">
      <w:pPr>
        <w:spacing w:after="320"/>
        <w:jc w:val="center"/>
        <w:rPr>
          <w:rFonts w:ascii="Times New Roman" w:hAnsi="Times New Roman" w:cs="Times New Roman"/>
          <w:b/>
          <w:bCs/>
        </w:rPr>
      </w:pPr>
      <w:r>
        <w:rPr>
          <w:rFonts w:ascii="Times New Roman" w:hAnsi="Times New Roman" w:cs="Times New Roman"/>
          <w:b/>
          <w:bCs/>
        </w:rPr>
        <w:t>Senior Specialist for Agricultural Credit Guarantee Scheme Development (SCAP)</w:t>
      </w:r>
    </w:p>
    <w:p w14:paraId="615D7357" w14:textId="77777777" w:rsidR="00B01ADA" w:rsidRPr="000B714F" w:rsidRDefault="00B01ADA" w:rsidP="00014998">
      <w:pPr>
        <w:spacing w:after="320"/>
        <w:jc w:val="center"/>
        <w:rPr>
          <w:rFonts w:ascii="Times New Roman" w:hAnsi="Times New Roman" w:cs="Times New Roman"/>
          <w:b/>
          <w:bCs/>
        </w:rPr>
      </w:pPr>
    </w:p>
    <w:p w14:paraId="591EC2A5" w14:textId="77777777" w:rsidR="001E48C8" w:rsidRPr="000B714F" w:rsidRDefault="00A0057A">
      <w:pPr>
        <w:pStyle w:val="Heading1"/>
        <w:rPr>
          <w:rFonts w:ascii="Times New Roman" w:hAnsi="Times New Roman" w:cs="Times New Roman"/>
        </w:rPr>
      </w:pPr>
      <w:r>
        <w:rPr>
          <w:rFonts w:ascii="Times New Roman" w:hAnsi="Times New Roman" w:cs="Times New Roman"/>
          <w:sz w:val="22"/>
          <w:szCs w:val="22"/>
        </w:rPr>
        <w:t>1.  Background</w:t>
      </w:r>
    </w:p>
    <w:p w14:paraId="0C1E1F51" w14:textId="31C79CE5" w:rsidR="001E48C8" w:rsidRPr="000B714F" w:rsidRDefault="00A0057A">
      <w:pPr>
        <w:spacing w:after="160"/>
        <w:jc w:val="both"/>
        <w:rPr>
          <w:rFonts w:ascii="Times New Roman" w:hAnsi="Times New Roman" w:cs="Times New Roman"/>
        </w:rPr>
      </w:pPr>
      <w:r>
        <w:rPr>
          <w:rFonts w:ascii="Times New Roman" w:hAnsi="Times New Roman" w:cs="Times New Roman"/>
        </w:rPr>
        <w:t>The Serbia Competitive Agriculture Project (SCAP), a US$50 million investment, was approved by the World Bank in December 2019 and ratified by the National Assembly of the Republic of Serbia in February 2020. The project is implemented by the Ministry of Agriculture, Forestry and Water Management (MAFWM). The objective of the Project is to improve access to markets and information systems for agricultural producers in Serbia. This will be achieved through: a) improving productivity of small and medium scale farmers by strengthening advisory and technical support; b) supporting market access of small and medium scale farmers (including finance and business planning capacity); and c) improving government systems to strengthen the enabling environment for all agricultural producers (including capacity building for the Ministry, information systems, and data platform).</w:t>
      </w:r>
    </w:p>
    <w:p w14:paraId="7AA42510" w14:textId="045AA518" w:rsidR="001E48C8" w:rsidRPr="000B714F" w:rsidRDefault="00A0057A">
      <w:pPr>
        <w:spacing w:after="160"/>
        <w:jc w:val="both"/>
        <w:rPr>
          <w:rFonts w:ascii="Times New Roman" w:hAnsi="Times New Roman" w:cs="Times New Roman"/>
        </w:rPr>
      </w:pPr>
      <w:r>
        <w:rPr>
          <w:rFonts w:ascii="Times New Roman" w:hAnsi="Times New Roman" w:cs="Times New Roman"/>
        </w:rPr>
        <w:t>The Project is providing financial and technical support to all productive investments in Serbian agriculture through the national rural development program and will not finance direct payments (</w:t>
      </w:r>
      <w:proofErr w:type="gramStart"/>
      <w:r>
        <w:rPr>
          <w:rFonts w:ascii="Times New Roman" w:hAnsi="Times New Roman" w:cs="Times New Roman"/>
        </w:rPr>
        <w:t>subsidies</w:t>
      </w:r>
      <w:proofErr w:type="gramEnd"/>
      <w:r>
        <w:rPr>
          <w:rFonts w:ascii="Times New Roman" w:hAnsi="Times New Roman" w:cs="Times New Roman"/>
        </w:rPr>
        <w:t>). This delimits the scope of Project interventions outside of all IPARD measures that the country has been accredited for or plans to be accredited for, and places it at the center of the national rural development program.</w:t>
      </w:r>
    </w:p>
    <w:p w14:paraId="062ED153" w14:textId="77777777" w:rsidR="001E48C8" w:rsidRPr="000B714F" w:rsidRDefault="00A0057A">
      <w:pPr>
        <w:spacing w:after="160"/>
        <w:jc w:val="both"/>
        <w:rPr>
          <w:rFonts w:ascii="Times New Roman" w:hAnsi="Times New Roman" w:cs="Times New Roman"/>
        </w:rPr>
      </w:pPr>
      <w:r>
        <w:rPr>
          <w:rFonts w:ascii="Times New Roman" w:hAnsi="Times New Roman" w:cs="Times New Roman"/>
        </w:rPr>
        <w:t>Beneficiaries are small and medium scale agricultural production units (including producers, producer groups, and agribusinesses/agro-processors that can provide direct links to smallholder farmers) that have or can have commercial focus and are not covered by accredited IPARD measures. Although large producers will not be directly targeted, the project will also benefit them with the enabling environment it will create through improvements in information systems and financial services provided. Small and medium-sized producers are defined by the economic size of holding expressed in euros of standard output. For the purposes of this project and in the context of Serbia, small producers are those with an economic size of up to EUR 8,000; medium producers are those with an economic size between EUR 8,000 and 25,000.</w:t>
      </w:r>
    </w:p>
    <w:p w14:paraId="4D211007" w14:textId="77777777" w:rsidR="001E48C8" w:rsidRPr="000B714F" w:rsidRDefault="00A0057A">
      <w:pPr>
        <w:spacing w:after="160"/>
        <w:jc w:val="both"/>
        <w:rPr>
          <w:rFonts w:ascii="Times New Roman" w:hAnsi="Times New Roman" w:cs="Times New Roman"/>
        </w:rPr>
      </w:pPr>
      <w:r>
        <w:rPr>
          <w:rFonts w:ascii="Times New Roman" w:hAnsi="Times New Roman" w:cs="Times New Roman"/>
        </w:rPr>
        <w:t>The Project activities are structured into three Components. Component 1 focuses on improving the productive and entrepreneurial capacity of small and medium farmers by supporting business and financial planning for productive investments, as well as supporting market access and strengthening sector competitiveness. Component 2 focuses on improving the capacity of the MAFWM to provide core public goods for improving sector performance, including establishing an information system aligned with EU Common Agriculture Policy (CAP) requirements to enable evidence-based policy making and monitoring of results, enhance market information for stakeholders, and build capacity for regulatory roles aligned with the EU CAP. Component 3 focuses on project management.</w:t>
      </w:r>
    </w:p>
    <w:p w14:paraId="0870C333" w14:textId="1169D7D9" w:rsidR="001E48C8" w:rsidRPr="000B714F" w:rsidRDefault="00A0057A">
      <w:pPr>
        <w:spacing w:after="200"/>
        <w:jc w:val="both"/>
        <w:rPr>
          <w:rFonts w:ascii="Times New Roman" w:hAnsi="Times New Roman" w:cs="Times New Roman"/>
        </w:rPr>
      </w:pPr>
      <w:r>
        <w:rPr>
          <w:rFonts w:ascii="Times New Roman" w:hAnsi="Times New Roman" w:cs="Times New Roman"/>
        </w:rPr>
        <w:t xml:space="preserve">The Loan Agreement explicitly encourages the facilitation of access to finance, development of risk-sharing mechanisms, and the assessment and development of a public guarantee fund for agricultural loans. Within this framework, MAFWM seeks to operationalize a guarantee scheme leveraging experience from international financial institutions (World Bank, IFC), donor programs (e.g., </w:t>
      </w:r>
      <w:proofErr w:type="spellStart"/>
      <w:r>
        <w:rPr>
          <w:rFonts w:ascii="Times New Roman" w:hAnsi="Times New Roman" w:cs="Times New Roman"/>
        </w:rPr>
        <w:t>KfW</w:t>
      </w:r>
      <w:proofErr w:type="spellEnd"/>
      <w:r>
        <w:rPr>
          <w:rFonts w:ascii="Times New Roman" w:hAnsi="Times New Roman" w:cs="Times New Roman"/>
        </w:rPr>
        <w:t>, GIZ), and other financial sector best practices. Given that access to finance remains one of the binding constraints for agricultural investment in Serbia - particularly among small and medium producers - the development of a viable, bank-integrated credit guarantee mechanism represents a priority deliverable under SCAP’s final phase. This assignment is therefore directly aligned with SCAP’s mandate to strengthen the financial services enabling environment and serves as a cornerstone of the Project’s exit strategy and institutional legacy in the agricultural finance domain.</w:t>
      </w:r>
    </w:p>
    <w:p w14:paraId="68FD2928" w14:textId="77777777" w:rsidR="001E48C8" w:rsidRPr="000B714F" w:rsidRDefault="00A0057A">
      <w:pPr>
        <w:pStyle w:val="Heading1"/>
        <w:rPr>
          <w:rFonts w:ascii="Times New Roman" w:hAnsi="Times New Roman" w:cs="Times New Roman"/>
        </w:rPr>
      </w:pPr>
      <w:r>
        <w:rPr>
          <w:rFonts w:ascii="Times New Roman" w:hAnsi="Times New Roman" w:cs="Times New Roman"/>
          <w:sz w:val="22"/>
          <w:szCs w:val="22"/>
        </w:rPr>
        <w:lastRenderedPageBreak/>
        <w:t>2.  Objective of the Assignment</w:t>
      </w:r>
    </w:p>
    <w:p w14:paraId="5320D51F" w14:textId="77777777" w:rsidR="001E48C8" w:rsidRPr="000B714F" w:rsidRDefault="00A0057A">
      <w:pPr>
        <w:spacing w:after="160"/>
        <w:jc w:val="both"/>
        <w:rPr>
          <w:rFonts w:ascii="Times New Roman" w:hAnsi="Times New Roman" w:cs="Times New Roman"/>
        </w:rPr>
      </w:pPr>
      <w:r>
        <w:rPr>
          <w:rFonts w:ascii="Times New Roman" w:hAnsi="Times New Roman" w:cs="Times New Roman"/>
        </w:rPr>
        <w:t>The objective of this assignment is to provide dedicated, hands-on expert support for the design and practical implementation of an agricultural credit guarantee scheme in Serbia, with a strong focus on operational readiness, banking sector integration, and sustainability beyond project closure. The Consultant will work in an embedded capacity alongside the SCAP Project Management Team, MAFWM, and the Directorate for Agrarian Payments (DAP) to develop a guarantee mechanism that is technically sound, institutionally grounded, and capable of leveraging donor and IFI co-financing instruments.</w:t>
      </w:r>
    </w:p>
    <w:p w14:paraId="2D9CEE30" w14:textId="77777777" w:rsidR="001E48C8" w:rsidRPr="000B714F" w:rsidRDefault="00A0057A">
      <w:pPr>
        <w:spacing w:after="200"/>
        <w:jc w:val="both"/>
        <w:rPr>
          <w:rFonts w:ascii="Times New Roman" w:hAnsi="Times New Roman" w:cs="Times New Roman"/>
        </w:rPr>
      </w:pPr>
      <w:r>
        <w:rPr>
          <w:rFonts w:ascii="Times New Roman" w:hAnsi="Times New Roman" w:cs="Times New Roman"/>
        </w:rPr>
        <w:t>The assignment goes beyond conceptual design. It is expected to result in a fully operational guarantee scheme framework - including a validated financial model, defined risk-sharing structures, a banking sector onboarding strategy, and a regulatory and governance pathway - that can be adopted and maintained by the relevant public institutions following SCAP’s closure. The Consultant will play a pivotal role in bridging the gap between international best practice and Serbia’s specific institutional, regulatory, and market context, ensuring that the guarantee scheme is both credible to financial institutions and aligned with the country’s rural development policy priorities.</w:t>
      </w:r>
    </w:p>
    <w:p w14:paraId="786A7ECD" w14:textId="77777777" w:rsidR="001E48C8" w:rsidRPr="000B714F" w:rsidRDefault="00A0057A">
      <w:pPr>
        <w:pStyle w:val="Heading1"/>
        <w:rPr>
          <w:rFonts w:ascii="Times New Roman" w:hAnsi="Times New Roman" w:cs="Times New Roman"/>
        </w:rPr>
      </w:pPr>
      <w:r>
        <w:rPr>
          <w:rFonts w:ascii="Times New Roman" w:hAnsi="Times New Roman" w:cs="Times New Roman"/>
          <w:sz w:val="22"/>
          <w:szCs w:val="22"/>
        </w:rPr>
        <w:t>3.  Scope of Services</w:t>
      </w:r>
    </w:p>
    <w:p w14:paraId="288F76BC" w14:textId="77777777" w:rsidR="001E48C8" w:rsidRPr="000B714F" w:rsidRDefault="00A0057A">
      <w:pPr>
        <w:spacing w:after="160"/>
        <w:jc w:val="both"/>
        <w:rPr>
          <w:rFonts w:ascii="Times New Roman" w:hAnsi="Times New Roman" w:cs="Times New Roman"/>
        </w:rPr>
      </w:pPr>
      <w:r>
        <w:rPr>
          <w:rFonts w:ascii="Times New Roman" w:hAnsi="Times New Roman" w:cs="Times New Roman"/>
        </w:rPr>
        <w:t>Under the guidance of the SCAP Project Coordinator and in close collaboration with MAFWM and DAP, the Consultant will lead the full cycle of guarantee scheme development - from market diagnostics and financial architecture through to institutional setup, bank engagement, and capacity building. The assignment is organized around six priority focus areas, each requiring a combination of analytical work, stakeholder engagement, and practical documentation. Specifically, the Consultant will:</w:t>
      </w:r>
    </w:p>
    <w:p w14:paraId="22CAD24E" w14:textId="4979A0C5" w:rsidR="001E48C8" w:rsidRPr="000B714F" w:rsidRDefault="00A0057A" w:rsidP="005D028A">
      <w:pPr>
        <w:pStyle w:val="ListParagraph"/>
        <w:numPr>
          <w:ilvl w:val="0"/>
          <w:numId w:val="2"/>
        </w:numPr>
        <w:spacing w:after="80"/>
        <w:jc w:val="both"/>
        <w:rPr>
          <w:rFonts w:ascii="Times New Roman" w:hAnsi="Times New Roman" w:cs="Times New Roman"/>
        </w:rPr>
      </w:pPr>
      <w:r>
        <w:rPr>
          <w:rFonts w:ascii="Times New Roman" w:hAnsi="Times New Roman" w:cs="Times New Roman"/>
        </w:rPr>
        <w:t>Develop and refine guarantee scheme models based on portfolio guarantees, risk-sharing facilities, and blended finance instruments, integrating lessons learned from comparable initiatives supported by international financial institutions and donors (</w:t>
      </w:r>
      <w:proofErr w:type="spellStart"/>
      <w:r>
        <w:rPr>
          <w:rFonts w:ascii="Times New Roman" w:hAnsi="Times New Roman" w:cs="Times New Roman"/>
        </w:rPr>
        <w:t>e.g</w:t>
      </w:r>
      <w:proofErr w:type="spellEnd"/>
      <w:r>
        <w:rPr>
          <w:rFonts w:ascii="Times New Roman" w:hAnsi="Times New Roman" w:cs="Times New Roman"/>
        </w:rPr>
        <w:t xml:space="preserve"> IFC, </w:t>
      </w:r>
      <w:proofErr w:type="spellStart"/>
      <w:r>
        <w:rPr>
          <w:rFonts w:ascii="Times New Roman" w:hAnsi="Times New Roman" w:cs="Times New Roman"/>
        </w:rPr>
        <w:t>KfW</w:t>
      </w:r>
      <w:proofErr w:type="spellEnd"/>
      <w:r>
        <w:rPr>
          <w:rFonts w:ascii="Times New Roman" w:hAnsi="Times New Roman" w:cs="Times New Roman"/>
        </w:rPr>
        <w:t xml:space="preserve">); including EU-backed instruments such as </w:t>
      </w:r>
      <w:proofErr w:type="spellStart"/>
      <w:r>
        <w:rPr>
          <w:rFonts w:ascii="Times New Roman" w:hAnsi="Times New Roman" w:cs="Times New Roman"/>
        </w:rPr>
        <w:t>EaSI</w:t>
      </w:r>
      <w:proofErr w:type="spellEnd"/>
      <w:r>
        <w:rPr>
          <w:rFonts w:ascii="Times New Roman" w:hAnsi="Times New Roman" w:cs="Times New Roman"/>
        </w:rPr>
        <w:t xml:space="preserve"> guarantee facilities.</w:t>
      </w:r>
    </w:p>
    <w:p w14:paraId="59F2C32A" w14:textId="77777777" w:rsidR="001E48C8" w:rsidRPr="000B714F" w:rsidRDefault="00A0057A" w:rsidP="005D028A">
      <w:pPr>
        <w:pStyle w:val="ListParagraph"/>
        <w:numPr>
          <w:ilvl w:val="0"/>
          <w:numId w:val="2"/>
        </w:numPr>
        <w:spacing w:after="80"/>
        <w:jc w:val="both"/>
        <w:rPr>
          <w:rFonts w:ascii="Times New Roman" w:hAnsi="Times New Roman" w:cs="Times New Roman"/>
        </w:rPr>
      </w:pPr>
      <w:r>
        <w:rPr>
          <w:rFonts w:ascii="Times New Roman" w:hAnsi="Times New Roman" w:cs="Times New Roman"/>
        </w:rPr>
        <w:t>Conduct financial and risk structuring by defining risk-sharing parameters with banks, default probability assumptions, provisioning models, leverage strategies (target 1:5 – 1:10), and pricing mechanisms aligned with market conditions;</w:t>
      </w:r>
    </w:p>
    <w:p w14:paraId="51361160" w14:textId="247C3D0C" w:rsidR="001E48C8" w:rsidRPr="000B714F" w:rsidRDefault="00A0057A" w:rsidP="005D028A">
      <w:pPr>
        <w:pStyle w:val="ListParagraph"/>
        <w:numPr>
          <w:ilvl w:val="0"/>
          <w:numId w:val="2"/>
        </w:numPr>
        <w:spacing w:after="80"/>
        <w:jc w:val="both"/>
        <w:rPr>
          <w:rFonts w:ascii="Times New Roman" w:hAnsi="Times New Roman" w:cs="Times New Roman"/>
        </w:rPr>
      </w:pPr>
      <w:r>
        <w:rPr>
          <w:rFonts w:ascii="Times New Roman" w:hAnsi="Times New Roman" w:cs="Times New Roman"/>
        </w:rPr>
        <w:t>Lead engagement with commercial banks, financial institutions, and alternative lenders, and design a bank onboarding model, credit process integration approach, and guarantee approval workflow Engagement with commercial banks and other financial institutions will be iterative, including at least two consultation rounds (an early round to validate key design and product parameters, and a later round to validate operational workflows, onboarding documentation, and implementation readiness);</w:t>
      </w:r>
    </w:p>
    <w:p w14:paraId="22457807" w14:textId="77777777" w:rsidR="001E48C8" w:rsidRPr="000B714F" w:rsidRDefault="00A0057A" w:rsidP="005D028A">
      <w:pPr>
        <w:pStyle w:val="ListParagraph"/>
        <w:numPr>
          <w:ilvl w:val="0"/>
          <w:numId w:val="2"/>
        </w:numPr>
        <w:spacing w:after="80"/>
        <w:jc w:val="both"/>
        <w:rPr>
          <w:rFonts w:ascii="Times New Roman" w:hAnsi="Times New Roman" w:cs="Times New Roman"/>
        </w:rPr>
      </w:pPr>
      <w:r>
        <w:rPr>
          <w:rFonts w:ascii="Times New Roman" w:hAnsi="Times New Roman" w:cs="Times New Roman"/>
        </w:rPr>
        <w:t>Define the institutional setup of the guarantee mechanism — whether as a standalone guarantee fund, a facility within an existing institution, or a PPP model — and develop the corresponding operational procedures, internal controls, and monitoring system;</w:t>
      </w:r>
    </w:p>
    <w:p w14:paraId="5E1A6A73" w14:textId="77777777" w:rsidR="001E48C8" w:rsidRPr="000B714F" w:rsidRDefault="00A0057A" w:rsidP="005D028A">
      <w:pPr>
        <w:pStyle w:val="ListParagraph"/>
        <w:numPr>
          <w:ilvl w:val="0"/>
          <w:numId w:val="2"/>
        </w:numPr>
        <w:spacing w:after="80"/>
        <w:jc w:val="both"/>
        <w:rPr>
          <w:rFonts w:ascii="Times New Roman" w:hAnsi="Times New Roman" w:cs="Times New Roman"/>
        </w:rPr>
      </w:pPr>
      <w:r>
        <w:rPr>
          <w:rFonts w:ascii="Times New Roman" w:hAnsi="Times New Roman" w:cs="Times New Roman"/>
        </w:rPr>
        <w:t>Apply a market-based approach by drawing on prior experience to identify financing gaps, define target beneficiary segments, and align the guarantee product with real market needs and banking sector expectations;</w:t>
      </w:r>
    </w:p>
    <w:p w14:paraId="3672A9AD" w14:textId="77777777" w:rsidR="001E48C8" w:rsidRPr="000B714F" w:rsidRDefault="00A0057A" w:rsidP="005D028A">
      <w:pPr>
        <w:pStyle w:val="ListParagraph"/>
        <w:numPr>
          <w:ilvl w:val="0"/>
          <w:numId w:val="2"/>
        </w:numPr>
        <w:spacing w:after="80"/>
        <w:jc w:val="both"/>
        <w:rPr>
          <w:rFonts w:ascii="Times New Roman" w:hAnsi="Times New Roman" w:cs="Times New Roman"/>
        </w:rPr>
      </w:pPr>
      <w:r>
        <w:rPr>
          <w:rFonts w:ascii="Times New Roman" w:hAnsi="Times New Roman" w:cs="Times New Roman"/>
        </w:rPr>
        <w:t>Deliver practical capacity building workshops for key institutional stakeholders and coaching support for the implementation team to ensure readiness for scheme launch and operation;</w:t>
      </w:r>
    </w:p>
    <w:p w14:paraId="67E41AE7" w14:textId="58885EDF" w:rsidR="001E48C8" w:rsidRPr="000B714F" w:rsidRDefault="00A0057A" w:rsidP="005D028A">
      <w:pPr>
        <w:pStyle w:val="ListParagraph"/>
        <w:numPr>
          <w:ilvl w:val="0"/>
          <w:numId w:val="2"/>
        </w:numPr>
        <w:spacing w:after="160"/>
        <w:jc w:val="both"/>
        <w:rPr>
          <w:rFonts w:ascii="Times New Roman" w:hAnsi="Times New Roman" w:cs="Times New Roman"/>
        </w:rPr>
      </w:pPr>
      <w:r>
        <w:rPr>
          <w:rFonts w:ascii="Times New Roman" w:hAnsi="Times New Roman" w:cs="Times New Roman"/>
        </w:rPr>
        <w:t>Coordinate throughout the assignment with the SCAP Project Management Team, MAFWM, DAP, and relevant donor and banking sector partners to ensure alignment, quality, and timely completion of all deliverables.</w:t>
      </w:r>
    </w:p>
    <w:p w14:paraId="34E8ED94" w14:textId="203FDA88" w:rsidR="001E48C8" w:rsidRPr="000B714F" w:rsidRDefault="00A0057A">
      <w:pPr>
        <w:pStyle w:val="Heading1"/>
        <w:rPr>
          <w:rFonts w:ascii="Times New Roman" w:hAnsi="Times New Roman" w:cs="Times New Roman"/>
        </w:rPr>
      </w:pPr>
      <w:r>
        <w:rPr>
          <w:rFonts w:ascii="Times New Roman" w:hAnsi="Times New Roman" w:cs="Times New Roman"/>
          <w:sz w:val="22"/>
          <w:szCs w:val="22"/>
        </w:rPr>
        <w:t>4.  Deliverables,</w:t>
      </w:r>
      <w:r>
        <w:t xml:space="preserve"> </w:t>
      </w:r>
      <w:r>
        <w:rPr>
          <w:rFonts w:ascii="Times New Roman" w:hAnsi="Times New Roman" w:cs="Times New Roman"/>
          <w:sz w:val="22"/>
          <w:szCs w:val="22"/>
        </w:rPr>
        <w:t>Timelines, and Milestones</w:t>
      </w:r>
    </w:p>
    <w:p w14:paraId="66EF228D" w14:textId="77777777" w:rsidR="001E48C8" w:rsidRPr="000B714F" w:rsidRDefault="00A0057A" w:rsidP="005D028A">
      <w:pPr>
        <w:spacing w:after="160"/>
        <w:jc w:val="both"/>
        <w:rPr>
          <w:rFonts w:ascii="Times New Roman" w:hAnsi="Times New Roman" w:cs="Times New Roman"/>
        </w:rPr>
      </w:pPr>
      <w:r>
        <w:rPr>
          <w:rFonts w:ascii="Times New Roman" w:hAnsi="Times New Roman" w:cs="Times New Roman"/>
        </w:rPr>
        <w:lastRenderedPageBreak/>
        <w:t>The Consultant shall prepare and deliver the following outputs. The assignment is lump-sum with embedded support; the deliverables below serve to anchor expectations and enable monitoring of progress.</w:t>
      </w:r>
    </w:p>
    <w:p w14:paraId="5B89B3FD" w14:textId="118BD987" w:rsidR="006C1AC8" w:rsidRPr="000B714F" w:rsidRDefault="006C1AC8" w:rsidP="005D028A">
      <w:pPr>
        <w:spacing w:after="200"/>
        <w:jc w:val="both"/>
        <w:rPr>
          <w:rFonts w:ascii="Times New Roman" w:hAnsi="Times New Roman" w:cs="Times New Roman"/>
          <w:b/>
        </w:rPr>
      </w:pPr>
    </w:p>
    <w:tbl>
      <w:tblPr>
        <w:tblStyle w:val="GridTable1Light"/>
        <w:tblW w:w="9493" w:type="dxa"/>
        <w:tblLook w:val="04A0" w:firstRow="1" w:lastRow="0" w:firstColumn="1" w:lastColumn="0" w:noHBand="0" w:noVBand="1"/>
      </w:tblPr>
      <w:tblGrid>
        <w:gridCol w:w="1900"/>
        <w:gridCol w:w="6033"/>
        <w:gridCol w:w="1560"/>
      </w:tblGrid>
      <w:tr w:rsidR="003E7A4E" w:rsidRPr="000B714F" w14:paraId="38F01172" w14:textId="14C9199E" w:rsidTr="003E7A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tcPr>
          <w:p w14:paraId="74E509B4" w14:textId="3120E300" w:rsidR="003E7A4E" w:rsidRPr="000B714F" w:rsidRDefault="003E7A4E" w:rsidP="003E7A4E">
            <w:pPr>
              <w:jc w:val="center"/>
              <w:rPr>
                <w:rFonts w:ascii="Times New Roman" w:hAnsi="Times New Roman" w:cs="Times New Roman"/>
              </w:rPr>
            </w:pPr>
            <w:r>
              <w:rPr>
                <w:rFonts w:ascii="Times New Roman" w:hAnsi="Times New Roman" w:cs="Times New Roman"/>
              </w:rPr>
              <w:t>Deliverable</w:t>
            </w:r>
          </w:p>
        </w:tc>
        <w:tc>
          <w:tcPr>
            <w:tcW w:w="6033" w:type="dxa"/>
          </w:tcPr>
          <w:p w14:paraId="11B22DF6" w14:textId="0AEAC2A6" w:rsidR="003E7A4E" w:rsidRPr="000B714F" w:rsidRDefault="003E7A4E" w:rsidP="003E7A4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Description</w:t>
            </w:r>
          </w:p>
        </w:tc>
        <w:tc>
          <w:tcPr>
            <w:tcW w:w="1560" w:type="dxa"/>
          </w:tcPr>
          <w:p w14:paraId="7B99FBAC" w14:textId="2CCDC7BA" w:rsidR="003E7A4E" w:rsidRPr="000B714F" w:rsidRDefault="003E7A4E" w:rsidP="003E7A4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Due Date</w:t>
            </w:r>
          </w:p>
        </w:tc>
      </w:tr>
      <w:tr w:rsidR="003E7A4E" w:rsidRPr="000B714F" w14:paraId="379331B7" w14:textId="77777777" w:rsidTr="003E7A4E">
        <w:tc>
          <w:tcPr>
            <w:cnfStyle w:val="001000000000" w:firstRow="0" w:lastRow="0" w:firstColumn="1" w:lastColumn="0" w:oddVBand="0" w:evenVBand="0" w:oddHBand="0" w:evenHBand="0" w:firstRowFirstColumn="0" w:firstRowLastColumn="0" w:lastRowFirstColumn="0" w:lastRowLastColumn="0"/>
            <w:tcW w:w="1900" w:type="dxa"/>
          </w:tcPr>
          <w:p w14:paraId="6CDA1D13" w14:textId="495EB51B" w:rsidR="003E7A4E" w:rsidRPr="000B714F" w:rsidRDefault="003E7A4E" w:rsidP="008B768D">
            <w:pPr>
              <w:rPr>
                <w:rFonts w:ascii="Times New Roman" w:hAnsi="Times New Roman" w:cs="Times New Roman"/>
              </w:rPr>
            </w:pPr>
            <w:r>
              <w:rPr>
                <w:rFonts w:ascii="Times New Roman" w:hAnsi="Times New Roman" w:cs="Times New Roman"/>
              </w:rPr>
              <w:t>Deliverable 1: Inception and Diagnostic Report</w:t>
            </w:r>
          </w:p>
        </w:tc>
        <w:tc>
          <w:tcPr>
            <w:tcW w:w="6033" w:type="dxa"/>
          </w:tcPr>
          <w:p w14:paraId="069A59DE" w14:textId="00401713" w:rsidR="003E7A4E" w:rsidRPr="000B714F" w:rsidRDefault="003E7A4E" w:rsidP="005504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 combined inception and diagnostic report presenting the Consultant’s work plan, methodology, and stakeholder mapping, together with an analytical assessment of the current state of access to agricultural finance in Serbia. Includes an inventory of financing constraints, banking sector readiness for guarantee participation, a review of relevant international models and IFI instruments applicable to the Serbian context, and an initial concept direction for the guarantee scheme. Serves as the basis for alignment between the Consultant, MAFWM, and the World Bank team prior to commencing substantive design work.</w:t>
            </w:r>
          </w:p>
        </w:tc>
        <w:tc>
          <w:tcPr>
            <w:tcW w:w="1560" w:type="dxa"/>
          </w:tcPr>
          <w:p w14:paraId="6A7645C7" w14:textId="6565BE9B" w:rsidR="003E7A4E" w:rsidRPr="000B714F" w:rsidRDefault="004922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r w:rsidR="003E7A4E">
              <w:rPr>
                <w:rFonts w:ascii="Times New Roman" w:hAnsi="Times New Roman" w:cs="Times New Roman"/>
              </w:rPr>
              <w:t>0 days after signing the contract</w:t>
            </w:r>
          </w:p>
        </w:tc>
      </w:tr>
      <w:tr w:rsidR="003E7A4E" w:rsidRPr="000B714F" w14:paraId="0B712E92" w14:textId="77777777" w:rsidTr="003E7A4E">
        <w:tc>
          <w:tcPr>
            <w:cnfStyle w:val="001000000000" w:firstRow="0" w:lastRow="0" w:firstColumn="1" w:lastColumn="0" w:oddVBand="0" w:evenVBand="0" w:oddHBand="0" w:evenHBand="0" w:firstRowFirstColumn="0" w:firstRowLastColumn="0" w:lastRowFirstColumn="0" w:lastRowLastColumn="0"/>
            <w:tcW w:w="1900" w:type="dxa"/>
          </w:tcPr>
          <w:p w14:paraId="24E7095B" w14:textId="77777777" w:rsidR="003E7A4E" w:rsidRPr="000B714F" w:rsidRDefault="003E7A4E">
            <w:pPr>
              <w:rPr>
                <w:rFonts w:ascii="Times New Roman" w:hAnsi="Times New Roman" w:cs="Times New Roman"/>
              </w:rPr>
            </w:pPr>
            <w:r>
              <w:rPr>
                <w:rFonts w:ascii="Times New Roman" w:hAnsi="Times New Roman" w:cs="Times New Roman"/>
              </w:rPr>
              <w:t>Deliverable 2: Guarantee Scheme Concept &amp; Financial Model</w:t>
            </w:r>
          </w:p>
        </w:tc>
        <w:tc>
          <w:tcPr>
            <w:tcW w:w="6033" w:type="dxa"/>
          </w:tcPr>
          <w:p w14:paraId="4E5EB3A9" w14:textId="741B19AB" w:rsidR="003E7A4E" w:rsidRPr="000B714F" w:rsidRDefault="003E7A4E" w:rsidP="005504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 structured concept paper presenting at least two guarantee scheme model options with a recommended structure consistent with prudential requirements, covering scheme architecture, eligible beneficiaries, risk-sharing parameters, detailed product terms (including, as applicable: eligible borrowers and loan purposes, guarantee coverage and caps, tenor and currency parameters, pricing/fees, lender and borrower obligations, exclusion/eligibility criteria, and </w:t>
            </w:r>
            <w:proofErr w:type="spellStart"/>
            <w:r>
              <w:rPr>
                <w:rFonts w:ascii="Times New Roman" w:hAnsi="Times New Roman" w:cs="Times New Roman"/>
              </w:rPr>
              <w:t>additionality</w:t>
            </w:r>
            <w:proofErr w:type="spellEnd"/>
            <w:r>
              <w:rPr>
                <w:rFonts w:ascii="Times New Roman" w:hAnsi="Times New Roman" w:cs="Times New Roman"/>
              </w:rPr>
              <w:t xml:space="preserve"> principles) and proposed governance arrangements. Accompanied by a validated financial model covering leverage projections, risk simulations, provisioning requirements, and pricing scenarios, designed for review and stress-testing by MAFWM, DAP, and the World Bank.</w:t>
            </w:r>
          </w:p>
        </w:tc>
        <w:tc>
          <w:tcPr>
            <w:tcW w:w="1560" w:type="dxa"/>
          </w:tcPr>
          <w:p w14:paraId="221F3ECD" w14:textId="4EDACF24" w:rsidR="003E7A4E" w:rsidRPr="000B714F" w:rsidRDefault="004922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r w:rsidR="003E7A4E">
              <w:rPr>
                <w:rFonts w:ascii="Times New Roman" w:hAnsi="Times New Roman" w:cs="Times New Roman"/>
              </w:rPr>
              <w:t>0 days after signing the contract</w:t>
            </w:r>
          </w:p>
        </w:tc>
      </w:tr>
      <w:tr w:rsidR="003E7A4E" w:rsidRPr="000B714F" w14:paraId="5943186E" w14:textId="77777777" w:rsidTr="003E7A4E">
        <w:tc>
          <w:tcPr>
            <w:cnfStyle w:val="001000000000" w:firstRow="0" w:lastRow="0" w:firstColumn="1" w:lastColumn="0" w:oddVBand="0" w:evenVBand="0" w:oddHBand="0" w:evenHBand="0" w:firstRowFirstColumn="0" w:firstRowLastColumn="0" w:lastRowFirstColumn="0" w:lastRowLastColumn="0"/>
            <w:tcW w:w="1900" w:type="dxa"/>
          </w:tcPr>
          <w:p w14:paraId="10144D5E" w14:textId="77777777" w:rsidR="003E7A4E" w:rsidRPr="000B714F" w:rsidRDefault="003E7A4E">
            <w:pPr>
              <w:rPr>
                <w:rFonts w:ascii="Times New Roman" w:hAnsi="Times New Roman" w:cs="Times New Roman"/>
              </w:rPr>
            </w:pPr>
            <w:r>
              <w:rPr>
                <w:rFonts w:ascii="Times New Roman" w:hAnsi="Times New Roman" w:cs="Times New Roman"/>
              </w:rPr>
              <w:t>Deliverable 3: Institutional, Legal &amp; Operational Framework</w:t>
            </w:r>
          </w:p>
        </w:tc>
        <w:tc>
          <w:tcPr>
            <w:tcW w:w="6033" w:type="dxa"/>
          </w:tcPr>
          <w:p w14:paraId="5F08D8BC" w14:textId="7D21A8A3" w:rsidR="003E7A4E" w:rsidRDefault="003E7A4E" w:rsidP="003E7A4E">
            <w:pPr>
              <w:jc w:val="both"/>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rPr>
              <w:t xml:space="preserve">A combined document defining the institutional setup of the guarantee mechanism, the governance model, and the regulatory pathway required for its operationalization, including identification of legal, public-finance and financial-sector requirements and proposed amendments where necessary (including </w:t>
            </w:r>
            <w:r w:rsidRPr="003D2D34">
              <w:rPr>
                <w:rFonts w:ascii="Times New Roman" w:hAnsi="Times New Roman" w:cs="Times New Roman"/>
              </w:rPr>
              <w:t>assessing credit risk mitigation eligibility under applicable prudential rules and, if needed, design measures to support bankability and compliance)</w:t>
            </w:r>
            <w:r>
              <w:rPr>
                <w:rFonts w:ascii="Times New Roman" w:hAnsi="Times New Roman" w:cs="Times New Roman"/>
              </w:rPr>
              <w:t>. The legal and regulatory pathway shall be presented as an actionable roadmap specifying drafting and approval responsibilities (i.e., who drafts and who approves each instrument), the expected sequencing of regulatory steps, and the key decision points, accompanied by a short Decision Memo format suitable for government-level decision-making. Accompanied by an implementation-</w:t>
            </w:r>
            <w:proofErr w:type="gramStart"/>
            <w:r>
              <w:rPr>
                <w:rFonts w:ascii="Times New Roman" w:hAnsi="Times New Roman" w:cs="Times New Roman"/>
              </w:rPr>
              <w:t>ready  operational</w:t>
            </w:r>
            <w:proofErr w:type="gramEnd"/>
            <w:r>
              <w:rPr>
                <w:rFonts w:ascii="Times New Roman" w:hAnsi="Times New Roman" w:cs="Times New Roman"/>
              </w:rPr>
              <w:t xml:space="preserve"> framework covering end-to-end workflows and procedures (including bank integration processes),  guarantee application and approval mechanism, monitoring and reporting, and explicit claims and recoveries procedures (including timelines, documentation requirements, audit/verification, fraud controls, and recovery-sharing arrangements). The deliverable will also include a risk management and internal control framework (e.g., risk appetite/limits, portfolio concentration limits, reserve/provisioning policy, internal controls, audit arrangements, and management reporting templates) designed to be immediately usable by the administering institution upon scheme launch.</w:t>
            </w:r>
          </w:p>
          <w:p w14:paraId="75E8B6B5" w14:textId="4B291028" w:rsidR="003E7A4E" w:rsidRPr="000B714F" w:rsidRDefault="003E7A4E" w:rsidP="005504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60" w:type="dxa"/>
          </w:tcPr>
          <w:p w14:paraId="7BB63A5B" w14:textId="3B49675A" w:rsidR="003E7A4E" w:rsidRPr="000B714F" w:rsidRDefault="004922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r w:rsidR="003E7A4E">
              <w:rPr>
                <w:rFonts w:ascii="Times New Roman" w:hAnsi="Times New Roman" w:cs="Times New Roman"/>
              </w:rPr>
              <w:t>0 days after signing the contract</w:t>
            </w:r>
          </w:p>
        </w:tc>
      </w:tr>
      <w:tr w:rsidR="003E7A4E" w:rsidRPr="000B714F" w14:paraId="1352DE27" w14:textId="77777777" w:rsidTr="003E7A4E">
        <w:tc>
          <w:tcPr>
            <w:cnfStyle w:val="001000000000" w:firstRow="0" w:lastRow="0" w:firstColumn="1" w:lastColumn="0" w:oddVBand="0" w:evenVBand="0" w:oddHBand="0" w:evenHBand="0" w:firstRowFirstColumn="0" w:firstRowLastColumn="0" w:lastRowFirstColumn="0" w:lastRowLastColumn="0"/>
            <w:tcW w:w="1900" w:type="dxa"/>
          </w:tcPr>
          <w:p w14:paraId="7E0D1969" w14:textId="77777777" w:rsidR="003E7A4E" w:rsidRPr="000B714F" w:rsidRDefault="003E7A4E">
            <w:pPr>
              <w:rPr>
                <w:rFonts w:ascii="Times New Roman" w:hAnsi="Times New Roman" w:cs="Times New Roman"/>
              </w:rPr>
            </w:pPr>
            <w:r>
              <w:rPr>
                <w:rFonts w:ascii="Times New Roman" w:hAnsi="Times New Roman" w:cs="Times New Roman"/>
              </w:rPr>
              <w:lastRenderedPageBreak/>
              <w:t>Deliverable 4: Banking Sector Engagement Report</w:t>
            </w:r>
          </w:p>
        </w:tc>
        <w:tc>
          <w:tcPr>
            <w:tcW w:w="6033" w:type="dxa"/>
          </w:tcPr>
          <w:p w14:paraId="5794CF19" w14:textId="2D9CD367" w:rsidR="003E7A4E" w:rsidRPr="000B714F" w:rsidRDefault="003E7A4E" w:rsidP="005504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 report documenting iterative outreach and consultations conducted throughout the assignment with commercial banks and financial institutions, including an assessment of their interest and readiness to participate in the guarantee scheme and consolidated feedback used to refine scheme design. The report will summarize agreed/validated bank </w:t>
            </w:r>
            <w:proofErr w:type="gramStart"/>
            <w:r>
              <w:rPr>
                <w:rFonts w:ascii="Times New Roman" w:hAnsi="Times New Roman" w:cs="Times New Roman"/>
              </w:rPr>
              <w:t>onboarding  and</w:t>
            </w:r>
            <w:proofErr w:type="gramEnd"/>
            <w:r>
              <w:rPr>
                <w:rFonts w:ascii="Times New Roman" w:hAnsi="Times New Roman" w:cs="Times New Roman"/>
              </w:rPr>
              <w:t xml:space="preserve"> credit process integration arrangements and recommendations for guarantee approval workflow and operational interfaces with participating financial institutions.</w:t>
            </w:r>
          </w:p>
        </w:tc>
        <w:tc>
          <w:tcPr>
            <w:tcW w:w="1560" w:type="dxa"/>
          </w:tcPr>
          <w:p w14:paraId="02D9D8F6" w14:textId="0A0EC848" w:rsidR="003E7A4E" w:rsidRPr="000B714F" w:rsidRDefault="004922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r w:rsidR="003E7A4E">
              <w:rPr>
                <w:rFonts w:ascii="Times New Roman" w:hAnsi="Times New Roman" w:cs="Times New Roman"/>
              </w:rPr>
              <w:t>0 days after signing the contract</w:t>
            </w:r>
          </w:p>
        </w:tc>
      </w:tr>
      <w:tr w:rsidR="003E7A4E" w:rsidRPr="000B714F" w14:paraId="05458AAC" w14:textId="77777777" w:rsidTr="003E7A4E">
        <w:tc>
          <w:tcPr>
            <w:cnfStyle w:val="001000000000" w:firstRow="0" w:lastRow="0" w:firstColumn="1" w:lastColumn="0" w:oddVBand="0" w:evenVBand="0" w:oddHBand="0" w:evenHBand="0" w:firstRowFirstColumn="0" w:firstRowLastColumn="0" w:lastRowFirstColumn="0" w:lastRowLastColumn="0"/>
            <w:tcW w:w="1900" w:type="dxa"/>
          </w:tcPr>
          <w:p w14:paraId="6D21317E" w14:textId="17D53C2C" w:rsidR="003E7A4E" w:rsidRPr="000B714F" w:rsidRDefault="003E7A4E" w:rsidP="00430AD7">
            <w:pPr>
              <w:rPr>
                <w:rFonts w:ascii="Times New Roman" w:hAnsi="Times New Roman" w:cs="Times New Roman"/>
              </w:rPr>
            </w:pPr>
            <w:r>
              <w:rPr>
                <w:rFonts w:ascii="Times New Roman" w:hAnsi="Times New Roman" w:cs="Times New Roman"/>
              </w:rPr>
              <w:t xml:space="preserve">Deliverable 5: Capacity Building Report &amp; Final Implementation Package </w:t>
            </w:r>
          </w:p>
        </w:tc>
        <w:tc>
          <w:tcPr>
            <w:tcW w:w="6033" w:type="dxa"/>
          </w:tcPr>
          <w:p w14:paraId="2D7498E0" w14:textId="27D1D70D" w:rsidR="003E7A4E" w:rsidRPr="000B714F" w:rsidRDefault="003E7A4E" w:rsidP="005504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 consolidated implementation package comprising the full guarantee scheme model, a launch roadmap with milestones and responsibilities, and a bank onboarding toolkit and templates sufficient to enable rapid onboarding of participating financial institutions. At a minimum, the toolkit will include: (i) a bank onboarding note and process map; (ii) draft template agreements and/or term sheets between the administering institution and participating financial institutions; (iii) bank-facing operational guidance for loan origination, guarantee request submission, approvals, monitoring/reporting, and claims and recoveries; (iv) required reporting templates; and (v) a practical FAQ for participating banks. The deliverable also includes a Capacity Building Report documenting: the training workshops delivered (including their format — in-person or online, as agreed with the SCAP Project Coordinator based on participant availability and logistical feasibility), the number of participants (minimum 15 institutional participants across all workshops), training materials prepared (the costs of training materials shall be covered within the Consultant's lump-sum contract amount) and distributed, and institutional feedback received. At least two (2) workshops shall be organized under this deliverable.</w:t>
            </w:r>
          </w:p>
        </w:tc>
        <w:tc>
          <w:tcPr>
            <w:tcW w:w="1560" w:type="dxa"/>
          </w:tcPr>
          <w:p w14:paraId="6D1984A4" w14:textId="74262ACD" w:rsidR="003E7A4E" w:rsidRPr="000B714F" w:rsidRDefault="004922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r w:rsidR="003E7A4E">
              <w:rPr>
                <w:rFonts w:ascii="Times New Roman" w:hAnsi="Times New Roman" w:cs="Times New Roman"/>
              </w:rPr>
              <w:t>0 days after signing the contract but not later than 28 October 2026</w:t>
            </w:r>
          </w:p>
        </w:tc>
      </w:tr>
    </w:tbl>
    <w:p w14:paraId="3FF19480" w14:textId="6E6963B0" w:rsidR="001E48C8" w:rsidRPr="000B714F" w:rsidRDefault="00A0057A" w:rsidP="00987B9D">
      <w:pPr>
        <w:spacing w:before="160" w:after="200"/>
        <w:jc w:val="both"/>
        <w:rPr>
          <w:rFonts w:ascii="Times New Roman" w:hAnsi="Times New Roman" w:cs="Times New Roman"/>
        </w:rPr>
      </w:pPr>
      <w:r>
        <w:rPr>
          <w:rFonts w:ascii="Times New Roman" w:hAnsi="Times New Roman" w:cs="Times New Roman"/>
        </w:rPr>
        <w:t xml:space="preserve">The selected Consultant shall be paid the lump sum contract amount linked to the deliverables. </w:t>
      </w:r>
    </w:p>
    <w:p w14:paraId="3FF19481" w14:textId="77777777" w:rsidR="003002A2" w:rsidRPr="000B714F" w:rsidRDefault="00932AFF">
      <w:pPr>
        <w:spacing w:before="160" w:after="80"/>
        <w:rPr>
          <w:rFonts w:ascii="Times New Roman" w:hAnsi="Times New Roman" w:cs="Times New Roman"/>
          <w:b/>
        </w:rPr>
      </w:pPr>
      <w:r>
        <w:rPr>
          <w:rFonts w:ascii="Times New Roman" w:hAnsi="Times New Roman" w:cs="Times New Roman"/>
          <w:b/>
          <w:bCs/>
        </w:rPr>
        <w:t>Deliverable Acceptance Procedure</w:t>
      </w:r>
    </w:p>
    <w:p w14:paraId="3FF19482" w14:textId="77777777" w:rsidR="003002A2" w:rsidRPr="000B714F" w:rsidRDefault="00932AFF">
      <w:pPr>
        <w:spacing w:after="160"/>
        <w:jc w:val="both"/>
        <w:rPr>
          <w:rFonts w:ascii="Times New Roman" w:hAnsi="Times New Roman" w:cs="Times New Roman"/>
        </w:rPr>
      </w:pPr>
      <w:r>
        <w:rPr>
          <w:rFonts w:ascii="Times New Roman" w:hAnsi="Times New Roman" w:cs="Times New Roman"/>
        </w:rPr>
        <w:t>The Consultant shall submit each deliverable to the SCAP Project Coordinator for review and approval. Upon submission, the SCAP Project Coordinator shall review the deliverable within ten (10) working days and either issue written confirmation of acceptance or provide consolidated written comments requesting revisions. The Consultant shall address any such comments and resubmit within five (5) working days. Formal acceptance is constituted by written confirmation from the SCAP Project Coordinator. Approval by the SCAP Project Coordinator constitutes formal acceptance of deliverables for the purposes of monitoring progress, confirming achievement of milestones, authorizing payment, and supporting any further administrative actions required under the Project.</w:t>
      </w:r>
    </w:p>
    <w:p w14:paraId="3FF19483" w14:textId="77777777" w:rsidR="003002A2" w:rsidRPr="000B714F" w:rsidRDefault="00932AFF">
      <w:pPr>
        <w:spacing w:before="120" w:after="80"/>
        <w:rPr>
          <w:rFonts w:ascii="Times New Roman" w:hAnsi="Times New Roman" w:cs="Times New Roman"/>
          <w:b/>
        </w:rPr>
      </w:pPr>
      <w:r>
        <w:rPr>
          <w:rFonts w:ascii="Times New Roman" w:hAnsi="Times New Roman" w:cs="Times New Roman"/>
          <w:b/>
          <w:bCs/>
        </w:rPr>
        <w:t>Key Performance Indicators (KPIs)</w:t>
      </w:r>
    </w:p>
    <w:p w14:paraId="3735CDD2" w14:textId="77777777" w:rsidR="00180BC7" w:rsidRPr="000B714F" w:rsidRDefault="00180BC7" w:rsidP="000B714F">
      <w:pPr>
        <w:spacing w:before="120" w:after="80"/>
        <w:jc w:val="both"/>
        <w:rPr>
          <w:rFonts w:ascii="Times New Roman" w:hAnsi="Times New Roman" w:cs="Times New Roman"/>
        </w:rPr>
      </w:pPr>
      <w:r>
        <w:rPr>
          <w:rFonts w:ascii="Times New Roman" w:hAnsi="Times New Roman" w:cs="Times New Roman"/>
        </w:rPr>
        <w:t>The following KPIs will be used to assess the quality, timeliness, and impact of the assignment, per deliverable:</w:t>
      </w:r>
    </w:p>
    <w:p w14:paraId="2625D28C" w14:textId="77777777" w:rsidR="00180BC7" w:rsidRPr="000B714F" w:rsidRDefault="00180BC7" w:rsidP="000B714F">
      <w:pPr>
        <w:numPr>
          <w:ilvl w:val="0"/>
          <w:numId w:val="9"/>
        </w:numPr>
        <w:spacing w:before="120" w:after="80"/>
        <w:jc w:val="both"/>
        <w:rPr>
          <w:rFonts w:ascii="Times New Roman" w:hAnsi="Times New Roman" w:cs="Times New Roman"/>
        </w:rPr>
      </w:pPr>
      <w:r>
        <w:rPr>
          <w:rFonts w:ascii="Times New Roman" w:hAnsi="Times New Roman" w:cs="Times New Roman"/>
          <w:b/>
          <w:bCs/>
        </w:rPr>
        <w:t>D1:</w:t>
      </w:r>
      <w:r>
        <w:rPr>
          <w:rFonts w:ascii="Times New Roman" w:hAnsi="Times New Roman" w:cs="Times New Roman"/>
        </w:rPr>
        <w:t xml:space="preserve"> Financing constraints and banking sector readiness mapped; relevant international guarantee models reviewed for applicability to the Serbian context; deliverable accepted by SCAP Project Coordinator without major revisions upon first submission.</w:t>
      </w:r>
    </w:p>
    <w:p w14:paraId="140B15DC" w14:textId="724DA669" w:rsidR="00180BC7" w:rsidRPr="000B714F" w:rsidRDefault="00180BC7" w:rsidP="000B714F">
      <w:pPr>
        <w:numPr>
          <w:ilvl w:val="0"/>
          <w:numId w:val="9"/>
        </w:numPr>
        <w:spacing w:before="120" w:after="80"/>
        <w:jc w:val="both"/>
        <w:rPr>
          <w:rFonts w:ascii="Times New Roman" w:hAnsi="Times New Roman" w:cs="Times New Roman"/>
        </w:rPr>
      </w:pPr>
      <w:r>
        <w:rPr>
          <w:rFonts w:ascii="Times New Roman" w:hAnsi="Times New Roman" w:cs="Times New Roman"/>
          <w:b/>
          <w:bCs/>
        </w:rPr>
        <w:t>D2:</w:t>
      </w:r>
      <w:r>
        <w:rPr>
          <w:rFonts w:ascii="Times New Roman" w:hAnsi="Times New Roman" w:cs="Times New Roman"/>
        </w:rPr>
        <w:t xml:space="preserve"> At least two (2) guarantee scheme model options presented with a recommended structure; detailed product terms specified (eligibility, coverage/caps, pricing/fees, tenor parameters); financial model covers leverage projections, risk simulations/ stress tests, and pricing scenarios; concept endorsed by MAFWM, DAP, SCAP and/or the World Bank.</w:t>
      </w:r>
    </w:p>
    <w:p w14:paraId="085259F7" w14:textId="27D2A750" w:rsidR="00180BC7" w:rsidRPr="000B714F" w:rsidRDefault="00180BC7" w:rsidP="000B714F">
      <w:pPr>
        <w:numPr>
          <w:ilvl w:val="0"/>
          <w:numId w:val="9"/>
        </w:numPr>
        <w:spacing w:before="120" w:after="80"/>
        <w:jc w:val="both"/>
        <w:rPr>
          <w:rFonts w:ascii="Times New Roman" w:hAnsi="Times New Roman" w:cs="Times New Roman"/>
        </w:rPr>
      </w:pPr>
      <w:r>
        <w:rPr>
          <w:rFonts w:ascii="Times New Roman" w:hAnsi="Times New Roman" w:cs="Times New Roman"/>
          <w:b/>
          <w:bCs/>
        </w:rPr>
        <w:lastRenderedPageBreak/>
        <w:t>D3:</w:t>
      </w:r>
      <w:r>
        <w:rPr>
          <w:rFonts w:ascii="Times New Roman" w:hAnsi="Times New Roman" w:cs="Times New Roman"/>
        </w:rPr>
        <w:t xml:space="preserve"> Institutional setup and governance model defined; legal and regulatory pathway identified with proposed actions (including an actionable roadmap with drafting/approval responsibilities, sequencing, and decision points, and a Decision Memo format for government decision-making); operational procedures documented including bank integration workflows, claims and recoveries procedures, and risk management/internal control framework; deliverable accepted as implementation-ready.</w:t>
      </w:r>
    </w:p>
    <w:p w14:paraId="5A51FF51" w14:textId="57697709" w:rsidR="00180BC7" w:rsidRPr="000B714F" w:rsidRDefault="00180BC7" w:rsidP="000B714F">
      <w:pPr>
        <w:numPr>
          <w:ilvl w:val="0"/>
          <w:numId w:val="9"/>
        </w:numPr>
        <w:spacing w:before="120" w:after="80"/>
        <w:jc w:val="both"/>
        <w:rPr>
          <w:rFonts w:ascii="Times New Roman" w:hAnsi="Times New Roman" w:cs="Times New Roman"/>
        </w:rPr>
      </w:pPr>
      <w:r>
        <w:rPr>
          <w:rFonts w:ascii="Times New Roman" w:hAnsi="Times New Roman" w:cs="Times New Roman"/>
          <w:b/>
          <w:bCs/>
        </w:rPr>
        <w:t>D4:</w:t>
      </w:r>
      <w:r>
        <w:rPr>
          <w:rFonts w:ascii="Times New Roman" w:hAnsi="Times New Roman" w:cs="Times New Roman"/>
        </w:rPr>
        <w:t xml:space="preserve"> At least five (5) commercial banks or financial institutions formally consulted and documented through iterative engagement; consolidated bank feedback reflected in refinements to scheme design and bank onboarding </w:t>
      </w:r>
      <w:proofErr w:type="gramStart"/>
      <w:r>
        <w:rPr>
          <w:rFonts w:ascii="Times New Roman" w:hAnsi="Times New Roman" w:cs="Times New Roman"/>
        </w:rPr>
        <w:t>arrangements  and</w:t>
      </w:r>
      <w:proofErr w:type="gramEnd"/>
      <w:r>
        <w:rPr>
          <w:rFonts w:ascii="Times New Roman" w:hAnsi="Times New Roman" w:cs="Times New Roman"/>
        </w:rPr>
        <w:t xml:space="preserve"> guarantee approval workflow proposed.</w:t>
      </w:r>
    </w:p>
    <w:p w14:paraId="16BCB52C" w14:textId="04087F59" w:rsidR="00180BC7" w:rsidRPr="000B714F" w:rsidRDefault="00180BC7" w:rsidP="000B714F">
      <w:pPr>
        <w:numPr>
          <w:ilvl w:val="0"/>
          <w:numId w:val="9"/>
        </w:numPr>
        <w:spacing w:before="120" w:after="80"/>
        <w:jc w:val="both"/>
        <w:rPr>
          <w:rFonts w:ascii="Times New Roman" w:hAnsi="Times New Roman" w:cs="Times New Roman"/>
        </w:rPr>
      </w:pPr>
      <w:r>
        <w:rPr>
          <w:rFonts w:ascii="Times New Roman" w:hAnsi="Times New Roman" w:cs="Times New Roman"/>
          <w:b/>
          <w:bCs/>
        </w:rPr>
        <w:t>D5:</w:t>
      </w:r>
      <w:r>
        <w:rPr>
          <w:rFonts w:ascii="Times New Roman" w:hAnsi="Times New Roman" w:cs="Times New Roman"/>
        </w:rPr>
        <w:t xml:space="preserve"> Full implementation package with launch roadmap submitted, including bank onboarding toolkit and templates; at least two (2) workshops delivered with a minimum of fifteen (15) institutional participants; training materials prepared, distributed, and feedback documented.</w:t>
      </w:r>
    </w:p>
    <w:p w14:paraId="31DACCA4" w14:textId="101E742F" w:rsidR="001E48C8" w:rsidRPr="000B714F" w:rsidRDefault="00A0057A">
      <w:pPr>
        <w:pStyle w:val="Heading1"/>
        <w:rPr>
          <w:rFonts w:ascii="Times New Roman" w:hAnsi="Times New Roman" w:cs="Times New Roman"/>
        </w:rPr>
      </w:pPr>
      <w:r>
        <w:rPr>
          <w:rFonts w:ascii="Times New Roman" w:hAnsi="Times New Roman" w:cs="Times New Roman"/>
          <w:sz w:val="22"/>
          <w:szCs w:val="22"/>
        </w:rPr>
        <w:t xml:space="preserve">5.  Institutional Arrangements </w:t>
      </w:r>
    </w:p>
    <w:p w14:paraId="31E976C3" w14:textId="77777777" w:rsidR="001E48C8" w:rsidRPr="000B714F" w:rsidRDefault="00A0057A">
      <w:pPr>
        <w:spacing w:after="160"/>
        <w:jc w:val="both"/>
        <w:rPr>
          <w:rFonts w:ascii="Times New Roman" w:hAnsi="Times New Roman" w:cs="Times New Roman"/>
        </w:rPr>
      </w:pPr>
      <w:r>
        <w:rPr>
          <w:rFonts w:ascii="Times New Roman" w:hAnsi="Times New Roman" w:cs="Times New Roman"/>
        </w:rPr>
        <w:t>The Consultant will be a part of the SCAP Project Management Team and will work under the authority of MAFWM. The Consultant will report to the SCAP Project Coordinator on a regular basis regarding the pace of implementation and will maintain day-to-day technical coordination with the DAP sector for Financial and Credit support.</w:t>
      </w:r>
    </w:p>
    <w:p w14:paraId="1811D1E9" w14:textId="77777777" w:rsidR="006C1AC8" w:rsidRPr="000B714F" w:rsidRDefault="00A0057A" w:rsidP="006C1AC8">
      <w:pPr>
        <w:spacing w:after="160"/>
        <w:jc w:val="both"/>
      </w:pPr>
      <w:r>
        <w:rPr>
          <w:rFonts w:ascii="Times New Roman" w:hAnsi="Times New Roman" w:cs="Times New Roman"/>
        </w:rPr>
        <w:t>The Consultant shall be responsible for providing technical inputs and advice as requested and for ensuring the satisfactory quality and timely delivery of all outputs. All deliverables will be submitted in both English and Serbian language.</w:t>
      </w:r>
      <w:r>
        <w:t xml:space="preserve"> </w:t>
      </w:r>
    </w:p>
    <w:p w14:paraId="692C1BBB" w14:textId="77777777" w:rsidR="0005609A" w:rsidRDefault="0005609A">
      <w:pPr>
        <w:spacing w:before="120" w:after="80"/>
        <w:rPr>
          <w:kern w:val="2"/>
          <w14:ligatures w14:val="standardContextual"/>
        </w:rPr>
      </w:pPr>
      <w:r>
        <w:rPr>
          <w:rFonts w:ascii="Times New Roman" w:hAnsi="Times New Roman" w:cs="Times New Roman"/>
          <w:b/>
          <w:bCs/>
        </w:rPr>
        <w:t>Client Inputs and Critical Dependencies</w:t>
      </w:r>
    </w:p>
    <w:p w14:paraId="2F281CC4" w14:textId="77777777" w:rsidR="0005609A" w:rsidRDefault="0005609A">
      <w:pPr>
        <w:spacing w:after="160"/>
        <w:jc w:val="both"/>
        <w:rPr>
          <w:kern w:val="2"/>
          <w14:ligatures w14:val="standardContextual"/>
        </w:rPr>
      </w:pPr>
      <w:r>
        <w:rPr>
          <w:rFonts w:ascii="Times New Roman" w:hAnsi="Times New Roman" w:cs="Times New Roman"/>
        </w:rPr>
        <w:t xml:space="preserve">To ensure timely completion and practical </w:t>
      </w:r>
      <w:proofErr w:type="spellStart"/>
      <w:r>
        <w:rPr>
          <w:rFonts w:ascii="Times New Roman" w:hAnsi="Times New Roman" w:cs="Times New Roman"/>
        </w:rPr>
        <w:t>implementability</w:t>
      </w:r>
      <w:proofErr w:type="spellEnd"/>
      <w:r>
        <w:rPr>
          <w:rFonts w:ascii="Times New Roman" w:hAnsi="Times New Roman" w:cs="Times New Roman"/>
        </w:rPr>
        <w:t xml:space="preserve"> of the guarantee scheme, MAFWM/DAP/SCAP will provide the Consultant with the necessary access, coordination support, and inputs. Key client inputs and critical dependencies include:</w:t>
      </w:r>
    </w:p>
    <w:p w14:paraId="7C73A612" w14:textId="77777777" w:rsidR="0005609A" w:rsidRDefault="0005609A" w:rsidP="002E764A">
      <w:pPr>
        <w:pStyle w:val="ListParagraph"/>
        <w:numPr>
          <w:ilvl w:val="0"/>
          <w:numId w:val="10"/>
        </w:numPr>
        <w:jc w:val="both"/>
        <w:rPr>
          <w:kern w:val="2"/>
          <w14:ligatures w14:val="standardContextual"/>
        </w:rPr>
      </w:pPr>
      <w:r>
        <w:rPr>
          <w:rFonts w:ascii="Times New Roman" w:hAnsi="Times New Roman" w:cs="Times New Roman"/>
        </w:rPr>
        <w:t>Designation of a focal point in MAFWM and DAP for day-to-day coordination and timely consolidation of comments on deliverables.</w:t>
      </w:r>
    </w:p>
    <w:p w14:paraId="7BB6FB91" w14:textId="77777777" w:rsidR="0005609A" w:rsidRDefault="0005609A" w:rsidP="002E764A">
      <w:pPr>
        <w:pStyle w:val="ListParagraph"/>
        <w:numPr>
          <w:ilvl w:val="0"/>
          <w:numId w:val="10"/>
        </w:numPr>
        <w:jc w:val="both"/>
      </w:pPr>
      <w:r>
        <w:rPr>
          <w:rFonts w:ascii="Times New Roman" w:hAnsi="Times New Roman" w:cs="Times New Roman"/>
        </w:rPr>
        <w:t>Facilitation of meetings and introductions with relevant public institutions and stakeholders (e.g., Ministry of Finance, National Bank of Serbia, banking association), as needed for the institutional and legal pathway.</w:t>
      </w:r>
    </w:p>
    <w:p w14:paraId="35DDF3C5" w14:textId="77777777" w:rsidR="0005609A" w:rsidRDefault="0005609A" w:rsidP="002E764A">
      <w:pPr>
        <w:pStyle w:val="ListParagraph"/>
        <w:numPr>
          <w:ilvl w:val="0"/>
          <w:numId w:val="10"/>
        </w:numPr>
        <w:jc w:val="both"/>
      </w:pPr>
      <w:r>
        <w:rPr>
          <w:rFonts w:ascii="Times New Roman" w:hAnsi="Times New Roman" w:cs="Times New Roman"/>
        </w:rPr>
        <w:t>Support to convene commercial banks/financial institutions for consultations (including scheduling and invitations), and availability of counterparts for working sessions to validate design choices.</w:t>
      </w:r>
    </w:p>
    <w:p w14:paraId="1EDD9D6B" w14:textId="77777777" w:rsidR="0005609A" w:rsidRDefault="0005609A" w:rsidP="002E764A">
      <w:pPr>
        <w:pStyle w:val="ListParagraph"/>
        <w:numPr>
          <w:ilvl w:val="0"/>
          <w:numId w:val="10"/>
        </w:numPr>
        <w:jc w:val="both"/>
      </w:pPr>
      <w:r>
        <w:rPr>
          <w:rFonts w:ascii="Times New Roman" w:hAnsi="Times New Roman" w:cs="Times New Roman"/>
        </w:rPr>
        <w:t>Provision of relevant documentation and data available to SCAP/MAFWM/DAP to inform the diagnostic and financial model (e.g., pipeline and uptake data for SCAP support programs, portfolio performance information where available, and relevant legal/regulatory texts and internal procedures).</w:t>
      </w:r>
    </w:p>
    <w:p w14:paraId="36ECC4F9" w14:textId="77777777" w:rsidR="0005609A" w:rsidRDefault="0005609A" w:rsidP="002E764A">
      <w:pPr>
        <w:pStyle w:val="ListParagraph"/>
        <w:numPr>
          <w:ilvl w:val="0"/>
          <w:numId w:val="10"/>
        </w:numPr>
        <w:jc w:val="both"/>
      </w:pPr>
      <w:r>
        <w:rPr>
          <w:rFonts w:ascii="Times New Roman" w:hAnsi="Times New Roman" w:cs="Times New Roman"/>
        </w:rPr>
        <w:t>Timely decisions on key design parameters (e.g., host institution option, governance arrangements, eligible products/beneficiaries, pricing approach) to avoid delays in drafting the operational package.</w:t>
      </w:r>
    </w:p>
    <w:p w14:paraId="344D59A7" w14:textId="77777777" w:rsidR="0005609A" w:rsidRDefault="0005609A" w:rsidP="002E764A">
      <w:pPr>
        <w:pStyle w:val="ListParagraph"/>
        <w:numPr>
          <w:ilvl w:val="0"/>
          <w:numId w:val="10"/>
        </w:numPr>
        <w:jc w:val="both"/>
      </w:pPr>
      <w:r>
        <w:rPr>
          <w:rFonts w:ascii="Times New Roman" w:hAnsi="Times New Roman" w:cs="Times New Roman"/>
        </w:rPr>
        <w:t>Logistical support for workshops (venue or online platform access, participant nominations, and distribution of invitations) and confirmation of workshop dates at least two weeks in advance.</w:t>
      </w:r>
    </w:p>
    <w:p w14:paraId="1675234D" w14:textId="77777777" w:rsidR="0005609A" w:rsidRDefault="0005609A" w:rsidP="002E764A">
      <w:pPr>
        <w:pStyle w:val="ListParagraph"/>
        <w:numPr>
          <w:ilvl w:val="0"/>
          <w:numId w:val="10"/>
        </w:numPr>
        <w:jc w:val="both"/>
      </w:pPr>
      <w:r>
        <w:rPr>
          <w:rFonts w:ascii="Times New Roman" w:hAnsi="Times New Roman" w:cs="Times New Roman"/>
        </w:rPr>
        <w:t>Timely availability of translation/review capacity to ensure deliverables can be finalized in both English and Serbian within agreed review periods.</w:t>
      </w:r>
    </w:p>
    <w:p w14:paraId="5A91B307" w14:textId="77777777" w:rsidR="001F3240" w:rsidRDefault="001F3240" w:rsidP="006C1AC8">
      <w:pPr>
        <w:spacing w:after="160"/>
        <w:jc w:val="both"/>
        <w:rPr>
          <w:rFonts w:ascii="Times New Roman" w:hAnsi="Times New Roman" w:cs="Times New Roman"/>
        </w:rPr>
      </w:pPr>
    </w:p>
    <w:p w14:paraId="647DDFBE" w14:textId="6AA4FA4A" w:rsidR="001E48C8" w:rsidRPr="000B714F" w:rsidRDefault="006C1AC8" w:rsidP="006C1AC8">
      <w:pPr>
        <w:spacing w:after="160"/>
        <w:jc w:val="both"/>
        <w:rPr>
          <w:rFonts w:ascii="Times New Roman" w:hAnsi="Times New Roman" w:cs="Times New Roman"/>
        </w:rPr>
      </w:pPr>
      <w:r>
        <w:rPr>
          <w:rFonts w:ascii="Times New Roman" w:hAnsi="Times New Roman" w:cs="Times New Roman"/>
        </w:rPr>
        <w:t>The Consultant will also provide ad hoc briefs/updates as requested.</w:t>
      </w:r>
    </w:p>
    <w:p w14:paraId="70DED0C1" w14:textId="77777777" w:rsidR="0005609A" w:rsidRDefault="0005609A">
      <w:pPr>
        <w:spacing w:after="200"/>
        <w:jc w:val="both"/>
        <w:rPr>
          <w:kern w:val="2"/>
          <w14:ligatures w14:val="standardContextual"/>
        </w:rPr>
      </w:pPr>
      <w:r>
        <w:rPr>
          <w:rFonts w:ascii="Times New Roman" w:hAnsi="Times New Roman" w:cs="Times New Roman"/>
        </w:rPr>
        <w:t xml:space="preserve">All activities and outputs will be undertaken in accordance with applicable World Bank requirements. To the extent relevant for guarantee scheme design and operation, the Consultant will incorporate </w:t>
      </w:r>
      <w:r>
        <w:rPr>
          <w:rFonts w:ascii="Times New Roman" w:hAnsi="Times New Roman" w:cs="Times New Roman"/>
        </w:rPr>
        <w:lastRenderedPageBreak/>
        <w:t>appropriate environmental and social eligibility and screening provisions consistent with the Project’s Environmental and Social Standards (ESS) arrangements.</w:t>
      </w:r>
    </w:p>
    <w:p w14:paraId="550F8033" w14:textId="2D541725" w:rsidR="001E48C8" w:rsidRPr="000B714F" w:rsidRDefault="00A0057A">
      <w:pPr>
        <w:pStyle w:val="Heading1"/>
        <w:rPr>
          <w:rFonts w:ascii="Times New Roman" w:hAnsi="Times New Roman" w:cs="Times New Roman"/>
        </w:rPr>
      </w:pPr>
      <w:r>
        <w:rPr>
          <w:rFonts w:ascii="Times New Roman" w:hAnsi="Times New Roman" w:cs="Times New Roman"/>
          <w:sz w:val="22"/>
          <w:szCs w:val="22"/>
        </w:rPr>
        <w:t>6.  Engagement</w:t>
      </w:r>
      <w:r>
        <w:t xml:space="preserve"> </w:t>
      </w:r>
      <w:r>
        <w:rPr>
          <w:rFonts w:ascii="Times New Roman" w:hAnsi="Times New Roman" w:cs="Times New Roman"/>
          <w:sz w:val="22"/>
          <w:szCs w:val="22"/>
        </w:rPr>
        <w:t>Modality and Level of Effort</w:t>
      </w:r>
    </w:p>
    <w:p w14:paraId="39BDAD5C" w14:textId="1290DAB7" w:rsidR="001E48C8" w:rsidRPr="000B714F" w:rsidRDefault="00A0057A" w:rsidP="008B2791">
      <w:pPr>
        <w:spacing w:after="160"/>
        <w:jc w:val="both"/>
        <w:rPr>
          <w:rFonts w:ascii="Times New Roman" w:hAnsi="Times New Roman" w:cs="Times New Roman"/>
        </w:rPr>
      </w:pPr>
      <w:r>
        <w:rPr>
          <w:rFonts w:ascii="Times New Roman" w:hAnsi="Times New Roman" w:cs="Times New Roman"/>
        </w:rPr>
        <w:t xml:space="preserve">This consultancy is a </w:t>
      </w:r>
      <w:r>
        <w:rPr>
          <w:rFonts w:ascii="Times New Roman" w:hAnsi="Times New Roman" w:cs="Times New Roman"/>
          <w:b/>
        </w:rPr>
        <w:t>lump-sum technical assistance assignment</w:t>
      </w:r>
      <w:r>
        <w:rPr>
          <w:rFonts w:ascii="Times New Roman" w:hAnsi="Times New Roman" w:cs="Times New Roman"/>
        </w:rPr>
        <w:t xml:space="preserve"> with embedded, hands-on support. The assignment is expected to start </w:t>
      </w:r>
      <w:proofErr w:type="gramStart"/>
      <w:r>
        <w:rPr>
          <w:rFonts w:ascii="Times New Roman" w:hAnsi="Times New Roman" w:cs="Times New Roman"/>
        </w:rPr>
        <w:t xml:space="preserve">in </w:t>
      </w:r>
      <w:r w:rsidR="00BB7ACA">
        <w:rPr>
          <w:rFonts w:ascii="Times New Roman" w:hAnsi="Times New Roman" w:cs="Times New Roman"/>
        </w:rPr>
        <w:t xml:space="preserve"> </w:t>
      </w:r>
      <w:r w:rsidR="004D0D3A">
        <w:rPr>
          <w:rFonts w:ascii="Times New Roman" w:hAnsi="Times New Roman" w:cs="Times New Roman"/>
        </w:rPr>
        <w:t>July</w:t>
      </w:r>
      <w:proofErr w:type="gramEnd"/>
      <w:r w:rsidR="004D0D3A">
        <w:rPr>
          <w:rFonts w:ascii="Times New Roman" w:hAnsi="Times New Roman" w:cs="Times New Roman"/>
        </w:rPr>
        <w:t xml:space="preserve"> </w:t>
      </w:r>
      <w:r>
        <w:rPr>
          <w:rFonts w:ascii="Times New Roman" w:hAnsi="Times New Roman" w:cs="Times New Roman"/>
        </w:rPr>
        <w:t xml:space="preserve">2026, and the period of contract implementation will be up to </w:t>
      </w:r>
      <w:r w:rsidR="00492241" w:rsidRPr="004F7BDA">
        <w:rPr>
          <w:rFonts w:ascii="Times New Roman" w:hAnsi="Times New Roman" w:cs="Times New Roman"/>
        </w:rPr>
        <w:t>120 days</w:t>
      </w:r>
      <w:r w:rsidRPr="004F7BDA">
        <w:rPr>
          <w:rFonts w:ascii="Times New Roman" w:hAnsi="Times New Roman" w:cs="Times New Roman"/>
        </w:rPr>
        <w:t xml:space="preserve"> with</w:t>
      </w:r>
      <w:r>
        <w:rPr>
          <w:rFonts w:ascii="Times New Roman" w:hAnsi="Times New Roman" w:cs="Times New Roman"/>
        </w:rPr>
        <w:t xml:space="preserve"> an end date aligned with the SCAP closing date of 31 October 2026. </w:t>
      </w:r>
      <w:r>
        <w:rPr>
          <w:rFonts w:ascii="Times New Roman" w:hAnsi="Times New Roman" w:cs="Times New Roman"/>
          <w:b/>
          <w:bCs/>
        </w:rPr>
        <w:t xml:space="preserve">Estimated time input: </w:t>
      </w:r>
      <w:r>
        <w:rPr>
          <w:rFonts w:ascii="Times New Roman" w:hAnsi="Times New Roman" w:cs="Times New Roman"/>
          <w:b/>
        </w:rPr>
        <w:t>80 expert days</w:t>
      </w:r>
      <w:r>
        <w:rPr>
          <w:rFonts w:ascii="Times New Roman" w:hAnsi="Times New Roman" w:cs="Times New Roman"/>
        </w:rPr>
        <w:t xml:space="preserve"> </w:t>
      </w:r>
    </w:p>
    <w:p w14:paraId="3CB07D3C" w14:textId="77777777" w:rsidR="001E48C8" w:rsidRPr="000B714F" w:rsidRDefault="00A0057A">
      <w:pPr>
        <w:pStyle w:val="ListParagraph"/>
        <w:numPr>
          <w:ilvl w:val="0"/>
          <w:numId w:val="2"/>
        </w:numPr>
        <w:spacing w:after="80"/>
        <w:jc w:val="both"/>
        <w:rPr>
          <w:rFonts w:ascii="Times New Roman" w:hAnsi="Times New Roman" w:cs="Times New Roman"/>
        </w:rPr>
      </w:pPr>
      <w:r>
        <w:rPr>
          <w:rFonts w:ascii="Times New Roman" w:hAnsi="Times New Roman" w:cs="Times New Roman"/>
          <w:b/>
          <w:bCs/>
        </w:rPr>
        <w:t xml:space="preserve">Duty station: </w:t>
      </w:r>
      <w:r>
        <w:rPr>
          <w:rFonts w:ascii="Times New Roman" w:hAnsi="Times New Roman" w:cs="Times New Roman"/>
        </w:rPr>
        <w:t>Belgrade (MAFWM/DAP institutions), with in-person work as the default modality to ena</w:t>
      </w:r>
      <w:bookmarkStart w:id="0" w:name="_GoBack"/>
      <w:bookmarkEnd w:id="0"/>
      <w:r>
        <w:rPr>
          <w:rFonts w:ascii="Times New Roman" w:hAnsi="Times New Roman" w:cs="Times New Roman"/>
        </w:rPr>
        <w:t>ble iterative drafting, working sessions, and rapid coordination.</w:t>
      </w:r>
    </w:p>
    <w:p w14:paraId="59C14654" w14:textId="77777777" w:rsidR="001E48C8" w:rsidRPr="000B714F" w:rsidRDefault="00A0057A">
      <w:pPr>
        <w:pStyle w:val="ListParagraph"/>
        <w:numPr>
          <w:ilvl w:val="0"/>
          <w:numId w:val="2"/>
        </w:numPr>
        <w:spacing w:after="200"/>
        <w:jc w:val="both"/>
        <w:rPr>
          <w:rFonts w:ascii="Times New Roman" w:hAnsi="Times New Roman" w:cs="Times New Roman"/>
        </w:rPr>
      </w:pPr>
      <w:r>
        <w:rPr>
          <w:rFonts w:ascii="Times New Roman" w:hAnsi="Times New Roman" w:cs="Times New Roman"/>
          <w:b/>
          <w:bCs/>
        </w:rPr>
        <w:t xml:space="preserve">Flexibility: </w:t>
      </w:r>
      <w:r>
        <w:rPr>
          <w:rFonts w:ascii="Times New Roman" w:hAnsi="Times New Roman" w:cs="Times New Roman"/>
        </w:rPr>
        <w:t>Remote work may be agreed on a limited basis for drafting tasks, subject to approval by the Project Coordinator and operational needs of the DAP.</w:t>
      </w:r>
    </w:p>
    <w:p w14:paraId="66B3F50E" w14:textId="77777777" w:rsidR="001E48C8" w:rsidRPr="000B714F" w:rsidRDefault="00A0057A">
      <w:pPr>
        <w:pStyle w:val="Heading1"/>
        <w:rPr>
          <w:rFonts w:ascii="Times New Roman" w:hAnsi="Times New Roman" w:cs="Times New Roman"/>
        </w:rPr>
      </w:pPr>
      <w:r>
        <w:rPr>
          <w:rFonts w:ascii="Times New Roman" w:hAnsi="Times New Roman" w:cs="Times New Roman"/>
          <w:sz w:val="22"/>
          <w:szCs w:val="22"/>
        </w:rPr>
        <w:t>7.  Qualifications</w:t>
      </w:r>
    </w:p>
    <w:p w14:paraId="20CD138C" w14:textId="77777777" w:rsidR="001E48C8" w:rsidRPr="000B714F" w:rsidRDefault="00A0057A">
      <w:pPr>
        <w:spacing w:after="160"/>
        <w:jc w:val="both"/>
        <w:rPr>
          <w:rFonts w:ascii="Times New Roman" w:hAnsi="Times New Roman" w:cs="Times New Roman"/>
        </w:rPr>
      </w:pPr>
      <w:r>
        <w:rPr>
          <w:rFonts w:ascii="Times New Roman" w:hAnsi="Times New Roman" w:cs="Times New Roman"/>
        </w:rPr>
        <w:t>The Consultant should possess the following qualifications and professional competencies to successfully carry out the duties outlined in this Terms of Reference.</w:t>
      </w:r>
    </w:p>
    <w:p w14:paraId="7673A631" w14:textId="77777777" w:rsidR="001E48C8" w:rsidRPr="000B714F" w:rsidRDefault="00A0057A" w:rsidP="003E7A4E">
      <w:pPr>
        <w:spacing w:after="120"/>
        <w:rPr>
          <w:rFonts w:ascii="Times New Roman" w:hAnsi="Times New Roman" w:cs="Times New Roman"/>
        </w:rPr>
      </w:pPr>
      <w:r>
        <w:rPr>
          <w:rFonts w:ascii="Times New Roman" w:hAnsi="Times New Roman" w:cs="Times New Roman"/>
          <w:b/>
          <w:bCs/>
        </w:rPr>
        <w:t>Mandatory:</w:t>
      </w:r>
    </w:p>
    <w:p w14:paraId="4DBB98D1" w14:textId="77777777" w:rsidR="00CB5788" w:rsidRPr="000B714F" w:rsidRDefault="00CB5788" w:rsidP="00CB5788">
      <w:pPr>
        <w:pStyle w:val="ListParagraph"/>
        <w:numPr>
          <w:ilvl w:val="0"/>
          <w:numId w:val="3"/>
        </w:numPr>
        <w:jc w:val="both"/>
        <w:rPr>
          <w:rFonts w:ascii="Times New Roman" w:hAnsi="Times New Roman" w:cs="Times New Roman"/>
        </w:rPr>
      </w:pPr>
      <w:r>
        <w:rPr>
          <w:rFonts w:ascii="Times New Roman" w:hAnsi="Times New Roman" w:cs="Times New Roman"/>
        </w:rPr>
        <w:t>University degree (minimum Bachelor’s or higher) in economics, finance, business administration, or a related field;</w:t>
      </w:r>
    </w:p>
    <w:p w14:paraId="30E25CDF" w14:textId="055C2825" w:rsidR="00CB5788" w:rsidRPr="000B714F" w:rsidRDefault="00CB5788" w:rsidP="00CB5788">
      <w:pPr>
        <w:pStyle w:val="ListParagraph"/>
        <w:numPr>
          <w:ilvl w:val="0"/>
          <w:numId w:val="3"/>
        </w:numPr>
        <w:jc w:val="both"/>
        <w:rPr>
          <w:rFonts w:ascii="Times New Roman" w:hAnsi="Times New Roman" w:cs="Times New Roman"/>
        </w:rPr>
      </w:pPr>
      <w:r>
        <w:rPr>
          <w:rFonts w:ascii="Times New Roman" w:hAnsi="Times New Roman" w:cs="Times New Roman"/>
        </w:rPr>
        <w:t>At least 8 years of professional experience in financial instrument design, credit or loan portfolio management, agricultural or MSME finance, or banking sector operations, demonstrating progressively responsible and technically complex engagement;</w:t>
      </w:r>
    </w:p>
    <w:p w14:paraId="7711B3C5" w14:textId="77777777" w:rsidR="00CB5788" w:rsidRPr="000B714F" w:rsidRDefault="00CB5788" w:rsidP="00CB5788">
      <w:pPr>
        <w:pStyle w:val="ListParagraph"/>
        <w:numPr>
          <w:ilvl w:val="0"/>
          <w:numId w:val="3"/>
        </w:numPr>
        <w:jc w:val="both"/>
        <w:rPr>
          <w:rFonts w:ascii="Times New Roman" w:hAnsi="Times New Roman" w:cs="Times New Roman"/>
        </w:rPr>
      </w:pPr>
      <w:r>
        <w:rPr>
          <w:rFonts w:ascii="Times New Roman" w:hAnsi="Times New Roman" w:cs="Times New Roman"/>
        </w:rPr>
        <w:t>Experience in the design, operationalization, or implementation of credit guarantee schemes or similar risk-sharing financial mechanisms;</w:t>
      </w:r>
    </w:p>
    <w:p w14:paraId="7D2A87D2" w14:textId="77777777" w:rsidR="00CB5788" w:rsidRPr="000B714F" w:rsidRDefault="00CB5788" w:rsidP="00CB5788">
      <w:pPr>
        <w:pStyle w:val="ListParagraph"/>
        <w:numPr>
          <w:ilvl w:val="0"/>
          <w:numId w:val="3"/>
        </w:numPr>
        <w:jc w:val="both"/>
        <w:rPr>
          <w:rFonts w:ascii="Times New Roman" w:hAnsi="Times New Roman" w:cs="Times New Roman"/>
        </w:rPr>
      </w:pPr>
      <w:r>
        <w:rPr>
          <w:rFonts w:ascii="Times New Roman" w:hAnsi="Times New Roman" w:cs="Times New Roman"/>
        </w:rPr>
        <w:t>Experience working within or alongside commercial banks, including practical knowledge of credit approval processes, loan portfolio management, or bank-side risk assessment;</w:t>
      </w:r>
    </w:p>
    <w:p w14:paraId="63A97BD9" w14:textId="77777777" w:rsidR="00CB5788" w:rsidRPr="000B714F" w:rsidRDefault="00CB5788" w:rsidP="00CB5788">
      <w:pPr>
        <w:pStyle w:val="ListParagraph"/>
        <w:numPr>
          <w:ilvl w:val="0"/>
          <w:numId w:val="3"/>
        </w:numPr>
        <w:jc w:val="both"/>
        <w:rPr>
          <w:rFonts w:ascii="Times New Roman" w:hAnsi="Times New Roman" w:cs="Times New Roman"/>
        </w:rPr>
      </w:pPr>
      <w:r>
        <w:rPr>
          <w:rFonts w:ascii="Times New Roman" w:hAnsi="Times New Roman" w:cs="Times New Roman"/>
        </w:rPr>
        <w:t>Experience in designing or implementing access to finance programs in cooperation with international donors or international financial institutions, or related;</w:t>
      </w:r>
    </w:p>
    <w:p w14:paraId="64D47242" w14:textId="3FE1EFF2" w:rsidR="00FF5C7A" w:rsidRPr="000B714F" w:rsidRDefault="00CB5788" w:rsidP="00792ED3">
      <w:pPr>
        <w:pStyle w:val="ListParagraph"/>
        <w:numPr>
          <w:ilvl w:val="0"/>
          <w:numId w:val="3"/>
        </w:numPr>
        <w:rPr>
          <w:rFonts w:ascii="Times New Roman" w:hAnsi="Times New Roman" w:cs="Times New Roman"/>
        </w:rPr>
      </w:pPr>
      <w:r>
        <w:rPr>
          <w:rFonts w:ascii="Times New Roman" w:hAnsi="Times New Roman" w:cs="Times New Roman"/>
        </w:rPr>
        <w:t>Demonstrated experience advising public institutions, MSMEs, or agricultural producers on the design and implementation of financial access programs, credit guarantee mechanisms, or investment readiness initiatives, in a structured advisory or project capacity;</w:t>
      </w:r>
    </w:p>
    <w:p w14:paraId="102169BC" w14:textId="47934311" w:rsidR="008E4AFD" w:rsidRPr="000B714F" w:rsidRDefault="008E4AFD" w:rsidP="00792ED3">
      <w:pPr>
        <w:pStyle w:val="ListParagraph"/>
        <w:numPr>
          <w:ilvl w:val="0"/>
          <w:numId w:val="3"/>
        </w:numPr>
        <w:rPr>
          <w:rFonts w:ascii="Times New Roman" w:hAnsi="Times New Roman" w:cs="Times New Roman"/>
        </w:rPr>
      </w:pPr>
      <w:r>
        <w:rPr>
          <w:rFonts w:ascii="Times New Roman" w:hAnsi="Times New Roman" w:cs="Times New Roman"/>
        </w:rPr>
        <w:t xml:space="preserve">Proficiency in standard office software (e.g., Word, Excel, Outlook) </w:t>
      </w:r>
    </w:p>
    <w:p w14:paraId="5CF77FD3" w14:textId="77777777" w:rsidR="001E48C8" w:rsidRPr="000B714F" w:rsidRDefault="00A0057A" w:rsidP="003E7A4E">
      <w:pPr>
        <w:pStyle w:val="ListParagraph"/>
        <w:numPr>
          <w:ilvl w:val="0"/>
          <w:numId w:val="3"/>
        </w:numPr>
        <w:spacing w:after="120"/>
        <w:jc w:val="both"/>
        <w:rPr>
          <w:rFonts w:ascii="Times New Roman" w:hAnsi="Times New Roman" w:cs="Times New Roman"/>
        </w:rPr>
      </w:pPr>
      <w:r>
        <w:rPr>
          <w:rFonts w:ascii="Times New Roman" w:hAnsi="Times New Roman" w:cs="Times New Roman"/>
        </w:rPr>
        <w:t>Fluency in Serbian and English.</w:t>
      </w:r>
    </w:p>
    <w:p w14:paraId="1DEFB246" w14:textId="77777777" w:rsidR="001E48C8" w:rsidRPr="000B714F" w:rsidRDefault="00A0057A" w:rsidP="003E7A4E">
      <w:pPr>
        <w:spacing w:after="120"/>
        <w:jc w:val="both"/>
        <w:rPr>
          <w:rFonts w:ascii="Times New Roman" w:hAnsi="Times New Roman" w:cs="Times New Roman"/>
        </w:rPr>
      </w:pPr>
      <w:r>
        <w:rPr>
          <w:rFonts w:ascii="Times New Roman" w:hAnsi="Times New Roman" w:cs="Times New Roman"/>
          <w:b/>
          <w:bCs/>
        </w:rPr>
        <w:t>Preferred experience (considered an asset):</w:t>
      </w:r>
    </w:p>
    <w:p w14:paraId="2D09AB06" w14:textId="5F26482A" w:rsidR="00D07847" w:rsidRPr="000B714F" w:rsidRDefault="00D07847" w:rsidP="00D07847">
      <w:pPr>
        <w:pStyle w:val="ListParagraph"/>
        <w:numPr>
          <w:ilvl w:val="0"/>
          <w:numId w:val="4"/>
        </w:numPr>
        <w:jc w:val="both"/>
        <w:rPr>
          <w:rFonts w:ascii="Times New Roman" w:hAnsi="Times New Roman" w:cs="Times New Roman"/>
        </w:rPr>
      </w:pPr>
      <w:r>
        <w:rPr>
          <w:rFonts w:ascii="Times New Roman" w:hAnsi="Times New Roman" w:cs="Times New Roman"/>
        </w:rPr>
        <w:t xml:space="preserve">Experience with EU-backed or IFI-administered guarantee programs (e.g., </w:t>
      </w:r>
      <w:proofErr w:type="spellStart"/>
      <w:r>
        <w:rPr>
          <w:rFonts w:ascii="Times New Roman" w:hAnsi="Times New Roman" w:cs="Times New Roman"/>
        </w:rPr>
        <w:t>EaSI</w:t>
      </w:r>
      <w:proofErr w:type="spellEnd"/>
      <w:r>
        <w:rPr>
          <w:rFonts w:ascii="Times New Roman" w:hAnsi="Times New Roman" w:cs="Times New Roman"/>
        </w:rPr>
        <w:t xml:space="preserve">, </w:t>
      </w:r>
      <w:proofErr w:type="spellStart"/>
      <w:r>
        <w:rPr>
          <w:rFonts w:ascii="Times New Roman" w:hAnsi="Times New Roman" w:cs="Times New Roman"/>
        </w:rPr>
        <w:t>InvestEU</w:t>
      </w:r>
      <w:proofErr w:type="spellEnd"/>
      <w:r>
        <w:rPr>
          <w:rFonts w:ascii="Times New Roman" w:hAnsi="Times New Roman" w:cs="Times New Roman"/>
        </w:rPr>
        <w:t>, EFSI), at the level of program implementation, reporting, or compliance, is an asset;</w:t>
      </w:r>
    </w:p>
    <w:p w14:paraId="66F2C3D1" w14:textId="5AAB520A" w:rsidR="00D07847" w:rsidRPr="000B714F" w:rsidRDefault="00D07847" w:rsidP="00D07847">
      <w:pPr>
        <w:pStyle w:val="ListParagraph"/>
        <w:numPr>
          <w:ilvl w:val="0"/>
          <w:numId w:val="4"/>
        </w:numPr>
        <w:jc w:val="both"/>
        <w:rPr>
          <w:rFonts w:ascii="Times New Roman" w:hAnsi="Times New Roman" w:cs="Times New Roman"/>
        </w:rPr>
      </w:pPr>
      <w:r>
        <w:rPr>
          <w:rFonts w:ascii="Times New Roman" w:hAnsi="Times New Roman" w:cs="Times New Roman"/>
        </w:rPr>
        <w:t>Experience in financial market development, including work on alternative and asset-based financing instruments such as factoring, leasing, or similar instruments, or related</w:t>
      </w:r>
      <w:r>
        <w:t xml:space="preserve"> </w:t>
      </w:r>
      <w:r>
        <w:rPr>
          <w:rFonts w:ascii="Times New Roman" w:hAnsi="Times New Roman" w:cs="Times New Roman"/>
        </w:rPr>
        <w:t>, is an asset;</w:t>
      </w:r>
    </w:p>
    <w:p w14:paraId="0A4F2370" w14:textId="205F978A" w:rsidR="00D07847" w:rsidRPr="000B714F" w:rsidRDefault="00D07847" w:rsidP="00D07847">
      <w:pPr>
        <w:pStyle w:val="ListParagraph"/>
        <w:numPr>
          <w:ilvl w:val="0"/>
          <w:numId w:val="4"/>
        </w:numPr>
        <w:jc w:val="both"/>
        <w:rPr>
          <w:rFonts w:ascii="Times New Roman" w:hAnsi="Times New Roman" w:cs="Times New Roman"/>
        </w:rPr>
      </w:pPr>
      <w:r>
        <w:rPr>
          <w:rFonts w:ascii="Times New Roman" w:hAnsi="Times New Roman" w:cs="Times New Roman"/>
        </w:rPr>
        <w:t>Experience in developing or supporting national financial support programs for businesses in cooperation with public institutions or government bodies, or related, is an asset;</w:t>
      </w:r>
    </w:p>
    <w:p w14:paraId="519B685E" w14:textId="77777777" w:rsidR="00D07847" w:rsidRPr="000B714F" w:rsidRDefault="00D07847" w:rsidP="00D07847">
      <w:pPr>
        <w:pStyle w:val="ListParagraph"/>
        <w:numPr>
          <w:ilvl w:val="0"/>
          <w:numId w:val="4"/>
        </w:numPr>
        <w:jc w:val="both"/>
        <w:rPr>
          <w:rFonts w:ascii="Times New Roman" w:hAnsi="Times New Roman" w:cs="Times New Roman"/>
        </w:rPr>
      </w:pPr>
      <w:r>
        <w:rPr>
          <w:rFonts w:ascii="Times New Roman" w:hAnsi="Times New Roman" w:cs="Times New Roman"/>
        </w:rPr>
        <w:t>Sector-specific experience in agribusiness or agricultural finance, including understanding of financing constraints and market dynamics in the agricultural sector, is an asset.</w:t>
      </w:r>
    </w:p>
    <w:p w14:paraId="3172E436" w14:textId="77777777" w:rsidR="001E48C8" w:rsidRPr="000B714F" w:rsidRDefault="00A0057A">
      <w:pPr>
        <w:pStyle w:val="Heading1"/>
        <w:rPr>
          <w:rFonts w:ascii="Times New Roman" w:hAnsi="Times New Roman" w:cs="Times New Roman"/>
        </w:rPr>
      </w:pPr>
      <w:r>
        <w:rPr>
          <w:rFonts w:ascii="Times New Roman" w:hAnsi="Times New Roman" w:cs="Times New Roman"/>
          <w:sz w:val="22"/>
          <w:szCs w:val="22"/>
        </w:rPr>
        <w:t>8.  Confidentiality Statement</w:t>
      </w:r>
    </w:p>
    <w:p w14:paraId="1FA9C682" w14:textId="77777777" w:rsidR="001E48C8" w:rsidRPr="000B714F" w:rsidRDefault="00A0057A">
      <w:pPr>
        <w:spacing w:after="160"/>
        <w:jc w:val="both"/>
        <w:rPr>
          <w:rFonts w:ascii="Times New Roman" w:hAnsi="Times New Roman" w:cs="Times New Roman"/>
        </w:rPr>
      </w:pPr>
      <w:r>
        <w:rPr>
          <w:rFonts w:ascii="Times New Roman" w:hAnsi="Times New Roman" w:cs="Times New Roman"/>
        </w:rPr>
        <w:t>All data and information received from MAFWM/DAP/PMT/WB for the purpose of this assignment are to be treated confidentially and are only to be used in connection with the execution of these Terms of Reference.</w:t>
      </w:r>
    </w:p>
    <w:p w14:paraId="4F31295D" w14:textId="77777777" w:rsidR="001E48C8" w:rsidRPr="000B714F" w:rsidRDefault="00A0057A">
      <w:pPr>
        <w:spacing w:after="200"/>
        <w:jc w:val="both"/>
        <w:rPr>
          <w:rFonts w:ascii="Times New Roman" w:hAnsi="Times New Roman" w:cs="Times New Roman"/>
        </w:rPr>
      </w:pPr>
      <w:r>
        <w:rPr>
          <w:rFonts w:ascii="Times New Roman" w:hAnsi="Times New Roman" w:cs="Times New Roman"/>
        </w:rPr>
        <w:lastRenderedPageBreak/>
        <w:t>All intellectual property rights arising from the execution of these Terms of Reference are assigned to MAFWM/DAP. The contents of written materials obtained and used in this assignment may not be disclosed to any third parties without the expressed advance written authorization of MAFWM/DAP.</w:t>
      </w:r>
    </w:p>
    <w:p w14:paraId="2C0CC135" w14:textId="77777777" w:rsidR="001E48C8" w:rsidRPr="000B714F" w:rsidRDefault="00A0057A">
      <w:pPr>
        <w:pStyle w:val="Heading1"/>
        <w:rPr>
          <w:rFonts w:ascii="Times New Roman" w:hAnsi="Times New Roman" w:cs="Times New Roman"/>
        </w:rPr>
      </w:pPr>
      <w:r>
        <w:rPr>
          <w:rFonts w:ascii="Times New Roman" w:hAnsi="Times New Roman" w:cs="Times New Roman"/>
          <w:sz w:val="22"/>
          <w:szCs w:val="22"/>
        </w:rPr>
        <w:t>9.  Selection</w:t>
      </w:r>
    </w:p>
    <w:p w14:paraId="150438F4" w14:textId="771DDA3F" w:rsidR="00D24F79" w:rsidRDefault="00D24F79">
      <w:pPr>
        <w:spacing w:after="160"/>
        <w:jc w:val="both"/>
        <w:rPr>
          <w:kern w:val="2"/>
          <w14:ligatures w14:val="standardContextual"/>
        </w:rPr>
      </w:pPr>
      <w:r>
        <w:rPr>
          <w:rFonts w:ascii="Times New Roman" w:hAnsi="Times New Roman" w:cs="Times New Roman"/>
        </w:rPr>
        <w:t xml:space="preserve">The selection procedure will be conducted in accordance with the World Bank’s Procurement Regulations for IPF Borrowers (Consulting Services), </w:t>
      </w:r>
      <w:r w:rsidR="00570F6D" w:rsidRPr="00570F6D">
        <w:rPr>
          <w:rFonts w:ascii="Times New Roman" w:hAnsi="Times New Roman" w:cs="Times New Roman"/>
        </w:rPr>
        <w:t>Procurement in Investment Project Financing Goods, Works, Non-Consulting and Consulting Services, July 2016, revised November 2017, Augus</w:t>
      </w:r>
      <w:r w:rsidR="00570F6D">
        <w:rPr>
          <w:rFonts w:ascii="Times New Roman" w:hAnsi="Times New Roman" w:cs="Times New Roman"/>
        </w:rPr>
        <w:t xml:space="preserve">t 2018, as given in article 7.36 </w:t>
      </w:r>
      <w:r>
        <w:rPr>
          <w:rFonts w:ascii="Times New Roman" w:hAnsi="Times New Roman" w:cs="Times New Roman"/>
        </w:rPr>
        <w:t xml:space="preserve">using Open Competitive Selection of Individual Consultants (ICS), </w:t>
      </w:r>
    </w:p>
    <w:p w14:paraId="6FBCBA05" w14:textId="77777777" w:rsidR="00D24F79" w:rsidRDefault="00D24F79">
      <w:pPr>
        <w:spacing w:after="160"/>
        <w:jc w:val="both"/>
        <w:rPr>
          <w:kern w:val="2"/>
          <w14:ligatures w14:val="standardContextual"/>
        </w:rPr>
      </w:pPr>
      <w:r>
        <w:rPr>
          <w:rFonts w:ascii="Times New Roman" w:hAnsi="Times New Roman" w:cs="Times New Roman"/>
        </w:rPr>
        <w:t>The Consultant will be evaluated by applying the following evaluation:</w:t>
      </w:r>
    </w:p>
    <w:p w14:paraId="77E3B945" w14:textId="77777777" w:rsidR="0005609A" w:rsidRDefault="0005609A" w:rsidP="00BC1110">
      <w:pPr>
        <w:pStyle w:val="ListParagraph"/>
        <w:numPr>
          <w:ilvl w:val="0"/>
          <w:numId w:val="5"/>
        </w:numPr>
        <w:spacing w:after="80"/>
        <w:rPr>
          <w:kern w:val="2"/>
          <w14:ligatures w14:val="standardContextual"/>
        </w:rPr>
      </w:pPr>
      <w:r>
        <w:rPr>
          <w:rFonts w:ascii="Times New Roman" w:hAnsi="Times New Roman" w:cs="Times New Roman"/>
        </w:rPr>
        <w:t>The Consultant’s required specific experience related to the task (60 Points)</w:t>
      </w:r>
    </w:p>
    <w:p w14:paraId="4A60F7DA" w14:textId="77777777" w:rsidR="0005609A" w:rsidRDefault="0005609A" w:rsidP="00BC1110">
      <w:pPr>
        <w:pStyle w:val="ListParagraph"/>
        <w:numPr>
          <w:ilvl w:val="0"/>
          <w:numId w:val="5"/>
        </w:numPr>
        <w:spacing w:after="120"/>
        <w:rPr>
          <w:kern w:val="2"/>
          <w14:ligatures w14:val="standardContextual"/>
        </w:rPr>
      </w:pPr>
      <w:r>
        <w:rPr>
          <w:rFonts w:ascii="Times New Roman" w:hAnsi="Times New Roman" w:cs="Times New Roman"/>
        </w:rPr>
        <w:t>The Consultant’s qualifications and general experience (40 Points)</w:t>
      </w:r>
    </w:p>
    <w:p w14:paraId="6B4F4D27" w14:textId="77777777" w:rsidR="001E48C8" w:rsidRPr="00DC05BE" w:rsidRDefault="00A0057A">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total</w:t>
      </w:r>
      <w:proofErr w:type="gramEnd"/>
      <w:r>
        <w:rPr>
          <w:rFonts w:ascii="Times New Roman" w:hAnsi="Times New Roman" w:cs="Times New Roman"/>
        </w:rPr>
        <w:t>: 100 points)</w:t>
      </w:r>
    </w:p>
    <w:p w14:paraId="5BDCF955" w14:textId="77777777" w:rsidR="0055041A" w:rsidRPr="00DC05BE" w:rsidRDefault="0055041A">
      <w:pPr>
        <w:spacing w:before="60"/>
        <w:rPr>
          <w:rFonts w:ascii="Times New Roman" w:hAnsi="Times New Roman" w:cs="Times New Roman"/>
        </w:rPr>
      </w:pPr>
    </w:p>
    <w:sectPr w:rsidR="0055041A" w:rsidRPr="00DC05BE">
      <w:footerReference w:type="even" r:id="rId7"/>
      <w:footerReference w:type="default" r:id="rId8"/>
      <w:footerReference w:type="first" r:id="rId9"/>
      <w:pgSz w:w="11906" w:h="16838"/>
      <w:pgMar w:top="1440" w:right="1440" w:bottom="1440" w:left="1440" w:header="708" w:footer="708" w:gutter="0"/>
      <w:cols w:space="720"/>
      <w:docGrid w:linePitch="360"/>
    </w:sectPr>
  </w:body>
</w:document>
</file>

<file path=word/commentsExtensible0.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cr="http://schemas.microsoft.com/office/comments/2020/reactions" mc:Ignorable="w14 w15 w16se w16cid w16 w16cex w16sdtdh w16sdtfl cr w16du wp14">
  <w16cex:commentExtensible w16cex:durableId="00799086" w16cex:dateUtc="2026-04-27T07:33:05Z"/>
  <w16cex:commentExtensible w16cex:durableId="0CDDA015" w16cex:dateUtc="2026-04-27T07:33:22Z"/>
  <w16cex:commentExtensible w16cex:durableId="6FAF8EEA" w16cex:dateUtc="2026-04-27T07:33:22Z"/>
  <w16cex:commentExtensible w16cex:durableId="032AC669" w16cex:dateUtc="2026-04-27T07:33:22Z"/>
  <w16cex:commentExtensible w16cex:durableId="7AF70004" w16cex:dateUtc="2026-04-27T07:33:23Z"/>
  <w16cex:commentExtensible w16cex:durableId="08719DDA" w16cex:dateUtc="2026-04-27T07:33:39Z"/>
  <w16cex:commentExtensible w16cex:durableId="5D0C6552" w16cex:dateUtc="2026-04-27T07:33:39Z"/>
  <w16cex:commentExtensible w16cex:durableId="5F072197" w16cex:dateUtc="2026-04-27T07:33:39Z"/>
  <w16cex:commentExtensible w16cex:durableId="3B219B24" w16cex:dateUtc="2026-04-27T07:33:40Z"/>
  <w16cex:commentExtensible w16cex:durableId="06219B1F" w16cex:dateUtc="2026-04-27T07:33:59Z"/>
  <w16cex:commentExtensible w16cex:durableId="03A8EE7C" w16cex:dateUtc="2026-04-27T07:34:00Z"/>
  <w16cex:commentExtensible w16cex:durableId="14C0CB08" w16cex:dateUtc="2026-04-27T07:34:00Z"/>
  <w16cex:commentExtensible w16cex:durableId="61EA457B" w16cex:dateUtc="2026-04-27T07:34:01Z"/>
  <w16cex:commentExtensible w16cex:durableId="2A0213D3" w16cex:dateUtc="2026-04-27T07:34:06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FD1558" w16cid:durableId="2DC1483F"/>
  <w16cid:commentId w16cid:paraId="60BB54E5" w16cid:durableId="2DC14840"/>
  <w16cid:commentId w16cid:paraId="3F007A3C" w16cid:durableId="2DC14841"/>
  <w16cid:commentId w16cid:paraId="1CA42412" w16cid:durableId="2DC14842"/>
  <w16cid:commentId w16cid:paraId="58BF2986" w16cid:durableId="2DC14843"/>
  <w16cid:commentId w16cid:paraId="1F076B14" w16cid:durableId="2DC14844"/>
</w16cid:commentsIds>
</file>

<file path=word/commentsIds0.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9D4C77" w16cid:durableId="00799086"/>
  <w16cid:commentId w16cid:paraId="56193A06" w16cid:durableId="0CDDA015"/>
  <w16cid:commentId w16cid:paraId="2D254D74" w16cid:durableId="6FAF8EEA"/>
  <w16cid:commentId w16cid:paraId="196BD5D3" w16cid:durableId="032AC669"/>
  <w16cid:commentId w16cid:paraId="12A3F529" w16cid:durableId="7AF70004"/>
  <w16cid:commentId w16cid:paraId="1EACE979" w16cid:durableId="08719DDA"/>
  <w16cid:commentId w16cid:paraId="2DB4A7FC" w16cid:durableId="5D0C6552"/>
  <w16cid:commentId w16cid:paraId="1B7508FF" w16cid:durableId="5F072197"/>
  <w16cid:commentId w16cid:paraId="37491C80" w16cid:durableId="3B219B24"/>
  <w16cid:commentId w16cid:paraId="573AF293" w16cid:durableId="06219B1F"/>
  <w16cid:commentId w16cid:paraId="67858927" w16cid:durableId="03A8EE7C"/>
  <w16cid:commentId w16cid:paraId="70235338" w16cid:durableId="14C0CB08"/>
  <w16cid:commentId w16cid:paraId="48E339B1" w16cid:durableId="61EA457B"/>
  <w16cid:commentId w16cid:paraId="73BA0DB3" w16cid:durableId="2A0213D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F3E82" w14:textId="77777777" w:rsidR="00020F3F" w:rsidRDefault="00020F3F" w:rsidP="001E2D52">
      <w:r>
        <w:separator/>
      </w:r>
    </w:p>
  </w:endnote>
  <w:endnote w:type="continuationSeparator" w:id="0">
    <w:p w14:paraId="0192568D" w14:textId="77777777" w:rsidR="00020F3F" w:rsidRDefault="00020F3F" w:rsidP="001E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4195E" w14:textId="78DD8893" w:rsidR="001E2D52" w:rsidRDefault="001E2D52">
    <w:pPr>
      <w:pStyle w:val="Footer"/>
    </w:pPr>
    <w:r>
      <w:rPr>
        <w:noProof/>
      </w:rPr>
      <mc:AlternateContent>
        <mc:Choice Requires="wps">
          <w:drawing>
            <wp:anchor distT="0" distB="0" distL="0" distR="0" simplePos="0" relativeHeight="251659264" behindDoc="0" locked="0" layoutInCell="1" allowOverlap="1" wp14:anchorId="65CD57C7" wp14:editId="713C1240">
              <wp:simplePos x="635" y="635"/>
              <wp:positionH relativeFrom="page">
                <wp:align>right</wp:align>
              </wp:positionH>
              <wp:positionV relativeFrom="page">
                <wp:align>bottom</wp:align>
              </wp:positionV>
              <wp:extent cx="1172210" cy="345440"/>
              <wp:effectExtent l="0" t="0" r="0" b="0"/>
              <wp:wrapNone/>
              <wp:docPr id="84559822" name="Text Box 2" descr="Official Use Only">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89D4B09" w14:textId="7554921A" w:rsidR="001E2D52" w:rsidRPr="001E2D52" w:rsidRDefault="001E2D52" w:rsidP="001E2D52">
                          <w:pPr>
                            <w:rPr>
                              <w:rFonts w:ascii="Aptos" w:eastAsia="Aptos" w:hAnsi="Aptos" w:cs="Aptos"/>
                              <w:noProof/>
                              <w:color w:val="000000"/>
                              <w:sz w:val="20"/>
                              <w:szCs w:val="20"/>
                            </w:rPr>
                          </w:pPr>
                          <w:r w:rsidRPr="001E2D5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fl="http://schemas.microsoft.com/office/word/2024/wordml/sdtformatlock" xmlns:w16sdtdh="http://schemas.microsoft.com/office/word/2020/wordml/sdtdatahash" xmlns:w16du="http://schemas.microsoft.com/office/word/2023/wordml/word16du" xmlns:oel="http://schemas.microsoft.com/office/2019/extlst">
          <w:pict>
            <v:shapetype w14:anchorId="65CD57C7"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689D4B09" w14:textId="7554921A" w:rsidR="001E2D52" w:rsidRPr="001E2D52" w:rsidRDefault="001E2D52" w:rsidP="001E2D52">
                    <w:pPr>
                      <w:rPr>
                        <w:rFonts w:ascii="Aptos" w:eastAsia="Aptos" w:hAnsi="Aptos" w:cs="Aptos"/>
                        <w:noProof/>
                        <w:color w:val="000000"/>
                        <w:sz w:val="20"/>
                        <w:szCs w:val="20"/>
                      </w:rPr>
                    </w:pPr>
                    <w:r w:rsidRPr="001E2D52">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73D09" w14:textId="7CE648D0" w:rsidR="001E2D52" w:rsidRDefault="001E2D52">
    <w:pPr>
      <w:pStyle w:val="Footer"/>
    </w:pPr>
    <w:r>
      <w:rPr>
        <w:noProof/>
      </w:rPr>
      <mc:AlternateContent>
        <mc:Choice Requires="wps">
          <w:drawing>
            <wp:anchor distT="0" distB="0" distL="0" distR="0" simplePos="0" relativeHeight="251660288" behindDoc="0" locked="0" layoutInCell="1" allowOverlap="1" wp14:anchorId="298443CF" wp14:editId="258BB0B9">
              <wp:simplePos x="914400" y="10082213"/>
              <wp:positionH relativeFrom="page">
                <wp:align>right</wp:align>
              </wp:positionH>
              <wp:positionV relativeFrom="page">
                <wp:align>bottom</wp:align>
              </wp:positionV>
              <wp:extent cx="1172210" cy="345440"/>
              <wp:effectExtent l="0" t="0" r="0" b="0"/>
              <wp:wrapNone/>
              <wp:docPr id="1800052631" name="Text Box 3" descr="Official Use Only">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FCE1705" w14:textId="0055FC87" w:rsidR="001E2D52" w:rsidRPr="001E2D52" w:rsidRDefault="001E2D52" w:rsidP="001E2D52">
                          <w:pPr>
                            <w:rPr>
                              <w:rFonts w:ascii="Aptos" w:eastAsia="Aptos" w:hAnsi="Aptos" w:cs="Aptos"/>
                              <w:noProof/>
                              <w:color w:val="000000"/>
                              <w:sz w:val="20"/>
                              <w:szCs w:val="20"/>
                            </w:rPr>
                          </w:pPr>
                          <w:r w:rsidRPr="001E2D5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fl="http://schemas.microsoft.com/office/word/2024/wordml/sdtformatlock" xmlns:w16sdtdh="http://schemas.microsoft.com/office/word/2020/wordml/sdtdatahash" xmlns:w16du="http://schemas.microsoft.com/office/word/2023/wordml/word16du" xmlns:oel="http://schemas.microsoft.com/office/2019/extlst">
          <w:pict>
            <v:shapetype w14:anchorId="298443CF"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5FCE1705" w14:textId="0055FC87" w:rsidR="001E2D52" w:rsidRPr="001E2D52" w:rsidRDefault="001E2D52" w:rsidP="001E2D52">
                    <w:pPr>
                      <w:rPr>
                        <w:rFonts w:ascii="Aptos" w:eastAsia="Aptos" w:hAnsi="Aptos" w:cs="Aptos"/>
                        <w:noProof/>
                        <w:color w:val="000000"/>
                        <w:sz w:val="20"/>
                        <w:szCs w:val="20"/>
                      </w:rPr>
                    </w:pPr>
                    <w:r w:rsidRPr="001E2D52">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EBE1D" w14:textId="1B80ADE0" w:rsidR="001E2D52" w:rsidRDefault="001E2D52">
    <w:pPr>
      <w:pStyle w:val="Footer"/>
    </w:pPr>
    <w:r>
      <w:rPr>
        <w:noProof/>
      </w:rPr>
      <mc:AlternateContent>
        <mc:Choice Requires="wps">
          <w:drawing>
            <wp:anchor distT="0" distB="0" distL="0" distR="0" simplePos="0" relativeHeight="251658240" behindDoc="0" locked="0" layoutInCell="1" allowOverlap="1" wp14:anchorId="329B30F5" wp14:editId="33CA4855">
              <wp:simplePos x="635" y="635"/>
              <wp:positionH relativeFrom="page">
                <wp:align>right</wp:align>
              </wp:positionH>
              <wp:positionV relativeFrom="page">
                <wp:align>bottom</wp:align>
              </wp:positionV>
              <wp:extent cx="1172210" cy="345440"/>
              <wp:effectExtent l="0" t="0" r="0" b="0"/>
              <wp:wrapNone/>
              <wp:docPr id="30566873" name="Text Box 1" descr="Official Use Only">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E390491" w14:textId="0C70EAD9" w:rsidR="001E2D52" w:rsidRPr="001E2D52" w:rsidRDefault="001E2D52" w:rsidP="001E2D52">
                          <w:pPr>
                            <w:rPr>
                              <w:rFonts w:ascii="Aptos" w:eastAsia="Aptos" w:hAnsi="Aptos" w:cs="Aptos"/>
                              <w:noProof/>
                              <w:color w:val="000000"/>
                              <w:sz w:val="20"/>
                              <w:szCs w:val="20"/>
                            </w:rPr>
                          </w:pPr>
                          <w:r w:rsidRPr="001E2D5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fl="http://schemas.microsoft.com/office/word/2024/wordml/sdtformatlock" xmlns:w16sdtdh="http://schemas.microsoft.com/office/word/2020/wordml/sdtdatahash" xmlns:w16du="http://schemas.microsoft.com/office/word/2023/wordml/word16du" xmlns:oel="http://schemas.microsoft.com/office/2019/extlst">
          <w:pict>
            <v:shapetype w14:anchorId="329B30F5"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1E390491" w14:textId="0C70EAD9" w:rsidR="001E2D52" w:rsidRPr="001E2D52" w:rsidRDefault="001E2D52" w:rsidP="001E2D52">
                    <w:pPr>
                      <w:rPr>
                        <w:rFonts w:ascii="Aptos" w:eastAsia="Aptos" w:hAnsi="Aptos" w:cs="Aptos"/>
                        <w:noProof/>
                        <w:color w:val="000000"/>
                        <w:sz w:val="20"/>
                        <w:szCs w:val="20"/>
                      </w:rPr>
                    </w:pPr>
                    <w:r w:rsidRPr="001E2D52">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D1C11" w14:textId="77777777" w:rsidR="00020F3F" w:rsidRDefault="00020F3F" w:rsidP="001E2D52">
      <w:r>
        <w:separator/>
      </w:r>
    </w:p>
  </w:footnote>
  <w:footnote w:type="continuationSeparator" w:id="0">
    <w:p w14:paraId="564F8284" w14:textId="77777777" w:rsidR="00020F3F" w:rsidRDefault="00020F3F" w:rsidP="001E2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DAD"/>
    <w:multiLevelType w:val="multilevel"/>
    <w:tmpl w:val="FA46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E5EE7"/>
    <w:multiLevelType w:val="hybridMultilevel"/>
    <w:tmpl w:val="22928760"/>
    <w:lvl w:ilvl="0" w:tplc="1298CF90">
      <w:start w:val="1"/>
      <w:numFmt w:val="bullet"/>
      <w:lvlText w:val="•"/>
      <w:lvlJc w:val="left"/>
      <w:pPr>
        <w:ind w:left="720" w:hanging="360"/>
      </w:pPr>
    </w:lvl>
    <w:lvl w:ilvl="1" w:tplc="5CEC479C">
      <w:numFmt w:val="decimal"/>
      <w:lvlText w:val=""/>
      <w:lvlJc w:val="left"/>
    </w:lvl>
    <w:lvl w:ilvl="2" w:tplc="B4A83C74">
      <w:numFmt w:val="decimal"/>
      <w:lvlText w:val=""/>
      <w:lvlJc w:val="left"/>
    </w:lvl>
    <w:lvl w:ilvl="3" w:tplc="B20E39AE">
      <w:numFmt w:val="decimal"/>
      <w:lvlText w:val=""/>
      <w:lvlJc w:val="left"/>
    </w:lvl>
    <w:lvl w:ilvl="4" w:tplc="5484AEB8">
      <w:numFmt w:val="decimal"/>
      <w:lvlText w:val=""/>
      <w:lvlJc w:val="left"/>
    </w:lvl>
    <w:lvl w:ilvl="5" w:tplc="79BEF75E">
      <w:numFmt w:val="decimal"/>
      <w:lvlText w:val=""/>
      <w:lvlJc w:val="left"/>
    </w:lvl>
    <w:lvl w:ilvl="6" w:tplc="9A9AA126">
      <w:numFmt w:val="decimal"/>
      <w:lvlText w:val=""/>
      <w:lvlJc w:val="left"/>
    </w:lvl>
    <w:lvl w:ilvl="7" w:tplc="D55A71FE">
      <w:numFmt w:val="decimal"/>
      <w:lvlText w:val=""/>
      <w:lvlJc w:val="left"/>
    </w:lvl>
    <w:lvl w:ilvl="8" w:tplc="A92801C8">
      <w:numFmt w:val="decimal"/>
      <w:lvlText w:val=""/>
      <w:lvlJc w:val="left"/>
    </w:lvl>
  </w:abstractNum>
  <w:abstractNum w:abstractNumId="2" w15:restartNumberingAfterBreak="0">
    <w:nsid w:val="09F23543"/>
    <w:multiLevelType w:val="hybridMultilevel"/>
    <w:tmpl w:val="2042D8F8"/>
    <w:lvl w:ilvl="0" w:tplc="310641D2">
      <w:start w:val="1"/>
      <w:numFmt w:val="bullet"/>
      <w:lvlText w:val="•"/>
      <w:lvlJc w:val="left"/>
      <w:pPr>
        <w:ind w:left="720" w:hanging="360"/>
      </w:pPr>
    </w:lvl>
    <w:lvl w:ilvl="1" w:tplc="62C23970">
      <w:numFmt w:val="decimal"/>
      <w:lvlText w:val=""/>
      <w:lvlJc w:val="left"/>
    </w:lvl>
    <w:lvl w:ilvl="2" w:tplc="E06C37DC">
      <w:numFmt w:val="decimal"/>
      <w:lvlText w:val=""/>
      <w:lvlJc w:val="left"/>
    </w:lvl>
    <w:lvl w:ilvl="3" w:tplc="533ED1AA">
      <w:numFmt w:val="decimal"/>
      <w:lvlText w:val=""/>
      <w:lvlJc w:val="left"/>
    </w:lvl>
    <w:lvl w:ilvl="4" w:tplc="F4307A32">
      <w:numFmt w:val="decimal"/>
      <w:lvlText w:val=""/>
      <w:lvlJc w:val="left"/>
    </w:lvl>
    <w:lvl w:ilvl="5" w:tplc="7556F996">
      <w:numFmt w:val="decimal"/>
      <w:lvlText w:val=""/>
      <w:lvlJc w:val="left"/>
    </w:lvl>
    <w:lvl w:ilvl="6" w:tplc="851857DE">
      <w:numFmt w:val="decimal"/>
      <w:lvlText w:val=""/>
      <w:lvlJc w:val="left"/>
    </w:lvl>
    <w:lvl w:ilvl="7" w:tplc="5204BD5A">
      <w:numFmt w:val="decimal"/>
      <w:lvlText w:val=""/>
      <w:lvlJc w:val="left"/>
    </w:lvl>
    <w:lvl w:ilvl="8" w:tplc="D6E49862">
      <w:numFmt w:val="decimal"/>
      <w:lvlText w:val=""/>
      <w:lvlJc w:val="left"/>
    </w:lvl>
  </w:abstractNum>
  <w:abstractNum w:abstractNumId="3" w15:restartNumberingAfterBreak="0">
    <w:nsid w:val="0B7078F8"/>
    <w:multiLevelType w:val="multilevel"/>
    <w:tmpl w:val="207C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830EF"/>
    <w:multiLevelType w:val="hybridMultilevel"/>
    <w:tmpl w:val="0F0A38E6"/>
    <w:lvl w:ilvl="0" w:tplc="320A0866">
      <w:start w:val="1"/>
      <w:numFmt w:val="bullet"/>
      <w:lvlText w:val="•"/>
      <w:lvlJc w:val="left"/>
      <w:pPr>
        <w:ind w:left="720" w:hanging="360"/>
      </w:pPr>
    </w:lvl>
    <w:lvl w:ilvl="1" w:tplc="AF8C0B36">
      <w:numFmt w:val="decimal"/>
      <w:lvlText w:val=""/>
      <w:lvlJc w:val="left"/>
    </w:lvl>
    <w:lvl w:ilvl="2" w:tplc="64B0101E">
      <w:numFmt w:val="decimal"/>
      <w:lvlText w:val=""/>
      <w:lvlJc w:val="left"/>
    </w:lvl>
    <w:lvl w:ilvl="3" w:tplc="AD787A06">
      <w:numFmt w:val="decimal"/>
      <w:lvlText w:val=""/>
      <w:lvlJc w:val="left"/>
    </w:lvl>
    <w:lvl w:ilvl="4" w:tplc="D422969A">
      <w:numFmt w:val="decimal"/>
      <w:lvlText w:val=""/>
      <w:lvlJc w:val="left"/>
    </w:lvl>
    <w:lvl w:ilvl="5" w:tplc="0D62E744">
      <w:numFmt w:val="decimal"/>
      <w:lvlText w:val=""/>
      <w:lvlJc w:val="left"/>
    </w:lvl>
    <w:lvl w:ilvl="6" w:tplc="A9CC80BE">
      <w:numFmt w:val="decimal"/>
      <w:lvlText w:val=""/>
      <w:lvlJc w:val="left"/>
    </w:lvl>
    <w:lvl w:ilvl="7" w:tplc="79CE4A72">
      <w:numFmt w:val="decimal"/>
      <w:lvlText w:val=""/>
      <w:lvlJc w:val="left"/>
    </w:lvl>
    <w:lvl w:ilvl="8" w:tplc="8D36CD0C">
      <w:numFmt w:val="decimal"/>
      <w:lvlText w:val=""/>
      <w:lvlJc w:val="left"/>
    </w:lvl>
  </w:abstractNum>
  <w:abstractNum w:abstractNumId="5" w15:restartNumberingAfterBreak="0">
    <w:nsid w:val="1CEA6B8E"/>
    <w:multiLevelType w:val="hybridMultilevel"/>
    <w:tmpl w:val="DD989DA6"/>
    <w:lvl w:ilvl="0" w:tplc="6F4C575E">
      <w:start w:val="1"/>
      <w:numFmt w:val="bullet"/>
      <w:lvlText w:val="●"/>
      <w:lvlJc w:val="left"/>
      <w:pPr>
        <w:ind w:left="720" w:hanging="360"/>
      </w:pPr>
    </w:lvl>
    <w:lvl w:ilvl="1" w:tplc="08A86D86">
      <w:start w:val="1"/>
      <w:numFmt w:val="bullet"/>
      <w:lvlText w:val="○"/>
      <w:lvlJc w:val="left"/>
      <w:pPr>
        <w:ind w:left="1440" w:hanging="360"/>
      </w:pPr>
    </w:lvl>
    <w:lvl w:ilvl="2" w:tplc="08DAF536">
      <w:start w:val="1"/>
      <w:numFmt w:val="bullet"/>
      <w:lvlText w:val="■"/>
      <w:lvlJc w:val="left"/>
      <w:pPr>
        <w:ind w:left="2160" w:hanging="360"/>
      </w:pPr>
    </w:lvl>
    <w:lvl w:ilvl="3" w:tplc="C3DEC756">
      <w:start w:val="1"/>
      <w:numFmt w:val="bullet"/>
      <w:lvlText w:val="●"/>
      <w:lvlJc w:val="left"/>
      <w:pPr>
        <w:ind w:left="2880" w:hanging="360"/>
      </w:pPr>
    </w:lvl>
    <w:lvl w:ilvl="4" w:tplc="BDF4EDAA">
      <w:start w:val="1"/>
      <w:numFmt w:val="bullet"/>
      <w:lvlText w:val="○"/>
      <w:lvlJc w:val="left"/>
      <w:pPr>
        <w:ind w:left="3600" w:hanging="360"/>
      </w:pPr>
    </w:lvl>
    <w:lvl w:ilvl="5" w:tplc="27E6092C">
      <w:start w:val="1"/>
      <w:numFmt w:val="bullet"/>
      <w:lvlText w:val="■"/>
      <w:lvlJc w:val="left"/>
      <w:pPr>
        <w:ind w:left="4320" w:hanging="360"/>
      </w:pPr>
    </w:lvl>
    <w:lvl w:ilvl="6" w:tplc="1FA091E6">
      <w:start w:val="1"/>
      <w:numFmt w:val="bullet"/>
      <w:lvlText w:val="●"/>
      <w:lvlJc w:val="left"/>
      <w:pPr>
        <w:ind w:left="5040" w:hanging="360"/>
      </w:pPr>
    </w:lvl>
    <w:lvl w:ilvl="7" w:tplc="99F84FCA">
      <w:start w:val="1"/>
      <w:numFmt w:val="bullet"/>
      <w:lvlText w:val="●"/>
      <w:lvlJc w:val="left"/>
      <w:pPr>
        <w:ind w:left="5760" w:hanging="360"/>
      </w:pPr>
    </w:lvl>
    <w:lvl w:ilvl="8" w:tplc="79F41D6E">
      <w:start w:val="1"/>
      <w:numFmt w:val="bullet"/>
      <w:lvlText w:val="●"/>
      <w:lvlJc w:val="left"/>
      <w:pPr>
        <w:ind w:left="6480" w:hanging="360"/>
      </w:pPr>
    </w:lvl>
  </w:abstractNum>
  <w:abstractNum w:abstractNumId="6" w15:restartNumberingAfterBreak="0">
    <w:nsid w:val="20867DDA"/>
    <w:multiLevelType w:val="multilevel"/>
    <w:tmpl w:val="B6A2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A6361A"/>
    <w:multiLevelType w:val="hybridMultilevel"/>
    <w:tmpl w:val="7DB60CE2"/>
    <w:lvl w:ilvl="0" w:tplc="92C04F4C">
      <w:start w:val="1"/>
      <w:numFmt w:val="bullet"/>
      <w:lvlText w:val="•"/>
      <w:lvlJc w:val="left"/>
      <w:pPr>
        <w:ind w:left="720" w:hanging="360"/>
      </w:pPr>
    </w:lvl>
    <w:lvl w:ilvl="1" w:tplc="AB66F66E">
      <w:numFmt w:val="decimal"/>
      <w:lvlText w:val=""/>
      <w:lvlJc w:val="left"/>
    </w:lvl>
    <w:lvl w:ilvl="2" w:tplc="A4CC956E">
      <w:numFmt w:val="decimal"/>
      <w:lvlText w:val=""/>
      <w:lvlJc w:val="left"/>
    </w:lvl>
    <w:lvl w:ilvl="3" w:tplc="1C14B06C">
      <w:numFmt w:val="decimal"/>
      <w:lvlText w:val=""/>
      <w:lvlJc w:val="left"/>
    </w:lvl>
    <w:lvl w:ilvl="4" w:tplc="CCCA109E">
      <w:numFmt w:val="decimal"/>
      <w:lvlText w:val=""/>
      <w:lvlJc w:val="left"/>
    </w:lvl>
    <w:lvl w:ilvl="5" w:tplc="03A0942A">
      <w:numFmt w:val="decimal"/>
      <w:lvlText w:val=""/>
      <w:lvlJc w:val="left"/>
    </w:lvl>
    <w:lvl w:ilvl="6" w:tplc="B486FC46">
      <w:numFmt w:val="decimal"/>
      <w:lvlText w:val=""/>
      <w:lvlJc w:val="left"/>
    </w:lvl>
    <w:lvl w:ilvl="7" w:tplc="D110DABA">
      <w:numFmt w:val="decimal"/>
      <w:lvlText w:val=""/>
      <w:lvlJc w:val="left"/>
    </w:lvl>
    <w:lvl w:ilvl="8" w:tplc="8F2AB7FC">
      <w:numFmt w:val="decimal"/>
      <w:lvlText w:val=""/>
      <w:lvlJc w:val="left"/>
    </w:lvl>
  </w:abstractNum>
  <w:abstractNum w:abstractNumId="8" w15:restartNumberingAfterBreak="0">
    <w:nsid w:val="217A0E24"/>
    <w:multiLevelType w:val="hybridMultilevel"/>
    <w:tmpl w:val="35382BEE"/>
    <w:lvl w:ilvl="0" w:tplc="9950FE3A">
      <w:start w:val="1"/>
      <w:numFmt w:val="bullet"/>
      <w:lvlText w:val="•"/>
      <w:lvlJc w:val="left"/>
      <w:pPr>
        <w:ind w:left="720" w:hanging="360"/>
      </w:pPr>
    </w:lvl>
    <w:lvl w:ilvl="1" w:tplc="A17A33BA">
      <w:numFmt w:val="decimal"/>
      <w:lvlText w:val=""/>
      <w:lvlJc w:val="left"/>
    </w:lvl>
    <w:lvl w:ilvl="2" w:tplc="AC56F62A">
      <w:numFmt w:val="decimal"/>
      <w:lvlText w:val=""/>
      <w:lvlJc w:val="left"/>
    </w:lvl>
    <w:lvl w:ilvl="3" w:tplc="60F27B98">
      <w:numFmt w:val="decimal"/>
      <w:lvlText w:val=""/>
      <w:lvlJc w:val="left"/>
    </w:lvl>
    <w:lvl w:ilvl="4" w:tplc="1794EE96">
      <w:numFmt w:val="decimal"/>
      <w:lvlText w:val=""/>
      <w:lvlJc w:val="left"/>
    </w:lvl>
    <w:lvl w:ilvl="5" w:tplc="AAE6A9BE">
      <w:numFmt w:val="decimal"/>
      <w:lvlText w:val=""/>
      <w:lvlJc w:val="left"/>
    </w:lvl>
    <w:lvl w:ilvl="6" w:tplc="49DCF670">
      <w:numFmt w:val="decimal"/>
      <w:lvlText w:val=""/>
      <w:lvlJc w:val="left"/>
    </w:lvl>
    <w:lvl w:ilvl="7" w:tplc="D5A6D9A2">
      <w:numFmt w:val="decimal"/>
      <w:lvlText w:val=""/>
      <w:lvlJc w:val="left"/>
    </w:lvl>
    <w:lvl w:ilvl="8" w:tplc="958217B4">
      <w:numFmt w:val="decimal"/>
      <w:lvlText w:val=""/>
      <w:lvlJc w:val="left"/>
    </w:lvl>
  </w:abstractNum>
  <w:abstractNum w:abstractNumId="9" w15:restartNumberingAfterBreak="0">
    <w:nsid w:val="2789786F"/>
    <w:multiLevelType w:val="hybridMultilevel"/>
    <w:tmpl w:val="22126C82"/>
    <w:lvl w:ilvl="0" w:tplc="20B08A50">
      <w:start w:val="1"/>
      <w:numFmt w:val="bullet"/>
      <w:lvlText w:val="•"/>
      <w:lvlJc w:val="left"/>
      <w:pPr>
        <w:ind w:left="720" w:hanging="360"/>
      </w:pPr>
    </w:lvl>
    <w:lvl w:ilvl="1" w:tplc="9A1EE08C">
      <w:numFmt w:val="decimal"/>
      <w:lvlText w:val=""/>
      <w:lvlJc w:val="left"/>
    </w:lvl>
    <w:lvl w:ilvl="2" w:tplc="F558D43E">
      <w:numFmt w:val="decimal"/>
      <w:lvlText w:val=""/>
      <w:lvlJc w:val="left"/>
    </w:lvl>
    <w:lvl w:ilvl="3" w:tplc="E2124BB6">
      <w:numFmt w:val="decimal"/>
      <w:lvlText w:val=""/>
      <w:lvlJc w:val="left"/>
    </w:lvl>
    <w:lvl w:ilvl="4" w:tplc="D53AB4FE">
      <w:numFmt w:val="decimal"/>
      <w:lvlText w:val=""/>
      <w:lvlJc w:val="left"/>
    </w:lvl>
    <w:lvl w:ilvl="5" w:tplc="FCF28B9E">
      <w:numFmt w:val="decimal"/>
      <w:lvlText w:val=""/>
      <w:lvlJc w:val="left"/>
    </w:lvl>
    <w:lvl w:ilvl="6" w:tplc="B4084C30">
      <w:numFmt w:val="decimal"/>
      <w:lvlText w:val=""/>
      <w:lvlJc w:val="left"/>
    </w:lvl>
    <w:lvl w:ilvl="7" w:tplc="2B061158">
      <w:numFmt w:val="decimal"/>
      <w:lvlText w:val=""/>
      <w:lvlJc w:val="left"/>
    </w:lvl>
    <w:lvl w:ilvl="8" w:tplc="B928A848">
      <w:numFmt w:val="decimal"/>
      <w:lvlText w:val=""/>
      <w:lvlJc w:val="left"/>
    </w:lvl>
  </w:abstractNum>
  <w:abstractNum w:abstractNumId="10" w15:restartNumberingAfterBreak="0">
    <w:nsid w:val="28690784"/>
    <w:multiLevelType w:val="multilevel"/>
    <w:tmpl w:val="166E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160C4"/>
    <w:multiLevelType w:val="hybridMultilevel"/>
    <w:tmpl w:val="3AECC708"/>
    <w:lvl w:ilvl="0" w:tplc="267008FA">
      <w:start w:val="1"/>
      <w:numFmt w:val="bullet"/>
      <w:lvlText w:val="•"/>
      <w:lvlJc w:val="left"/>
      <w:pPr>
        <w:ind w:left="720" w:hanging="360"/>
      </w:pPr>
    </w:lvl>
    <w:lvl w:ilvl="1" w:tplc="CCF45874">
      <w:numFmt w:val="decimal"/>
      <w:lvlText w:val=""/>
      <w:lvlJc w:val="left"/>
    </w:lvl>
    <w:lvl w:ilvl="2" w:tplc="DD1049A8">
      <w:numFmt w:val="decimal"/>
      <w:lvlText w:val=""/>
      <w:lvlJc w:val="left"/>
    </w:lvl>
    <w:lvl w:ilvl="3" w:tplc="48C4E21A">
      <w:numFmt w:val="decimal"/>
      <w:lvlText w:val=""/>
      <w:lvlJc w:val="left"/>
    </w:lvl>
    <w:lvl w:ilvl="4" w:tplc="91864306">
      <w:numFmt w:val="decimal"/>
      <w:lvlText w:val=""/>
      <w:lvlJc w:val="left"/>
    </w:lvl>
    <w:lvl w:ilvl="5" w:tplc="AEF099C0">
      <w:numFmt w:val="decimal"/>
      <w:lvlText w:val=""/>
      <w:lvlJc w:val="left"/>
    </w:lvl>
    <w:lvl w:ilvl="6" w:tplc="CF2C77CE">
      <w:numFmt w:val="decimal"/>
      <w:lvlText w:val=""/>
      <w:lvlJc w:val="left"/>
    </w:lvl>
    <w:lvl w:ilvl="7" w:tplc="7A523FF0">
      <w:numFmt w:val="decimal"/>
      <w:lvlText w:val=""/>
      <w:lvlJc w:val="left"/>
    </w:lvl>
    <w:lvl w:ilvl="8" w:tplc="6F3CC8A2">
      <w:numFmt w:val="decimal"/>
      <w:lvlText w:val=""/>
      <w:lvlJc w:val="left"/>
    </w:lvl>
  </w:abstractNum>
  <w:abstractNum w:abstractNumId="12" w15:restartNumberingAfterBreak="0">
    <w:nsid w:val="3640660F"/>
    <w:multiLevelType w:val="multilevel"/>
    <w:tmpl w:val="0F32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7E4E6E"/>
    <w:multiLevelType w:val="hybridMultilevel"/>
    <w:tmpl w:val="27D8E502"/>
    <w:lvl w:ilvl="0" w:tplc="27623A6C">
      <w:start w:val="1"/>
      <w:numFmt w:val="bullet"/>
      <w:lvlText w:val="•"/>
      <w:lvlJc w:val="left"/>
      <w:pPr>
        <w:ind w:left="720" w:hanging="360"/>
      </w:pPr>
    </w:lvl>
    <w:lvl w:ilvl="1" w:tplc="A59008BC">
      <w:numFmt w:val="decimal"/>
      <w:lvlText w:val=""/>
      <w:lvlJc w:val="left"/>
    </w:lvl>
    <w:lvl w:ilvl="2" w:tplc="99BC2974">
      <w:numFmt w:val="decimal"/>
      <w:lvlText w:val=""/>
      <w:lvlJc w:val="left"/>
    </w:lvl>
    <w:lvl w:ilvl="3" w:tplc="AD86630C">
      <w:numFmt w:val="decimal"/>
      <w:lvlText w:val=""/>
      <w:lvlJc w:val="left"/>
    </w:lvl>
    <w:lvl w:ilvl="4" w:tplc="3F8C34A6">
      <w:numFmt w:val="decimal"/>
      <w:lvlText w:val=""/>
      <w:lvlJc w:val="left"/>
    </w:lvl>
    <w:lvl w:ilvl="5" w:tplc="4EAEBE32">
      <w:numFmt w:val="decimal"/>
      <w:lvlText w:val=""/>
      <w:lvlJc w:val="left"/>
    </w:lvl>
    <w:lvl w:ilvl="6" w:tplc="2BEE8EA0">
      <w:numFmt w:val="decimal"/>
      <w:lvlText w:val=""/>
      <w:lvlJc w:val="left"/>
    </w:lvl>
    <w:lvl w:ilvl="7" w:tplc="311AFAEC">
      <w:numFmt w:val="decimal"/>
      <w:lvlText w:val=""/>
      <w:lvlJc w:val="left"/>
    </w:lvl>
    <w:lvl w:ilvl="8" w:tplc="FC141CD0">
      <w:numFmt w:val="decimal"/>
      <w:lvlText w:val=""/>
      <w:lvlJc w:val="left"/>
    </w:lvl>
  </w:abstractNum>
  <w:abstractNum w:abstractNumId="14" w15:restartNumberingAfterBreak="0">
    <w:nsid w:val="3BF26CC7"/>
    <w:multiLevelType w:val="hybridMultilevel"/>
    <w:tmpl w:val="D1567878"/>
    <w:lvl w:ilvl="0" w:tplc="37D67FE0">
      <w:start w:val="1"/>
      <w:numFmt w:val="bullet"/>
      <w:lvlText w:val="•"/>
      <w:lvlJc w:val="left"/>
      <w:pPr>
        <w:ind w:left="720" w:hanging="360"/>
      </w:pPr>
    </w:lvl>
    <w:lvl w:ilvl="1" w:tplc="268ADB5E">
      <w:numFmt w:val="decimal"/>
      <w:lvlText w:val=""/>
      <w:lvlJc w:val="left"/>
    </w:lvl>
    <w:lvl w:ilvl="2" w:tplc="56CC507C">
      <w:numFmt w:val="decimal"/>
      <w:lvlText w:val=""/>
      <w:lvlJc w:val="left"/>
    </w:lvl>
    <w:lvl w:ilvl="3" w:tplc="3572C96E">
      <w:numFmt w:val="decimal"/>
      <w:lvlText w:val=""/>
      <w:lvlJc w:val="left"/>
    </w:lvl>
    <w:lvl w:ilvl="4" w:tplc="08AAA690">
      <w:numFmt w:val="decimal"/>
      <w:lvlText w:val=""/>
      <w:lvlJc w:val="left"/>
    </w:lvl>
    <w:lvl w:ilvl="5" w:tplc="5C6278E0">
      <w:numFmt w:val="decimal"/>
      <w:lvlText w:val=""/>
      <w:lvlJc w:val="left"/>
    </w:lvl>
    <w:lvl w:ilvl="6" w:tplc="A8265682">
      <w:numFmt w:val="decimal"/>
      <w:lvlText w:val=""/>
      <w:lvlJc w:val="left"/>
    </w:lvl>
    <w:lvl w:ilvl="7" w:tplc="4D042920">
      <w:numFmt w:val="decimal"/>
      <w:lvlText w:val=""/>
      <w:lvlJc w:val="left"/>
    </w:lvl>
    <w:lvl w:ilvl="8" w:tplc="F4806A66">
      <w:numFmt w:val="decimal"/>
      <w:lvlText w:val=""/>
      <w:lvlJc w:val="left"/>
    </w:lvl>
  </w:abstractNum>
  <w:abstractNum w:abstractNumId="15" w15:restartNumberingAfterBreak="0">
    <w:nsid w:val="3E324257"/>
    <w:multiLevelType w:val="hybridMultilevel"/>
    <w:tmpl w:val="A8E2590C"/>
    <w:lvl w:ilvl="0" w:tplc="755851A2">
      <w:start w:val="1"/>
      <w:numFmt w:val="bullet"/>
      <w:lvlText w:val="•"/>
      <w:lvlJc w:val="left"/>
      <w:pPr>
        <w:ind w:left="720" w:hanging="360"/>
      </w:pPr>
    </w:lvl>
    <w:lvl w:ilvl="1" w:tplc="094C0B54">
      <w:numFmt w:val="decimal"/>
      <w:lvlText w:val=""/>
      <w:lvlJc w:val="left"/>
    </w:lvl>
    <w:lvl w:ilvl="2" w:tplc="084C8880">
      <w:numFmt w:val="decimal"/>
      <w:lvlText w:val=""/>
      <w:lvlJc w:val="left"/>
    </w:lvl>
    <w:lvl w:ilvl="3" w:tplc="2EC212E6">
      <w:numFmt w:val="decimal"/>
      <w:lvlText w:val=""/>
      <w:lvlJc w:val="left"/>
    </w:lvl>
    <w:lvl w:ilvl="4" w:tplc="414A16A8">
      <w:numFmt w:val="decimal"/>
      <w:lvlText w:val=""/>
      <w:lvlJc w:val="left"/>
    </w:lvl>
    <w:lvl w:ilvl="5" w:tplc="8DAEB1D6">
      <w:numFmt w:val="decimal"/>
      <w:lvlText w:val=""/>
      <w:lvlJc w:val="left"/>
    </w:lvl>
    <w:lvl w:ilvl="6" w:tplc="D1B6B702">
      <w:numFmt w:val="decimal"/>
      <w:lvlText w:val=""/>
      <w:lvlJc w:val="left"/>
    </w:lvl>
    <w:lvl w:ilvl="7" w:tplc="5E5E9536">
      <w:numFmt w:val="decimal"/>
      <w:lvlText w:val=""/>
      <w:lvlJc w:val="left"/>
    </w:lvl>
    <w:lvl w:ilvl="8" w:tplc="C15A3D1C">
      <w:numFmt w:val="decimal"/>
      <w:lvlText w:val=""/>
      <w:lvlJc w:val="left"/>
    </w:lvl>
  </w:abstractNum>
  <w:abstractNum w:abstractNumId="16" w15:restartNumberingAfterBreak="0">
    <w:nsid w:val="40FC4102"/>
    <w:multiLevelType w:val="hybridMultilevel"/>
    <w:tmpl w:val="5AF6F48C"/>
    <w:lvl w:ilvl="0" w:tplc="6936D6D6">
      <w:start w:val="1"/>
      <w:numFmt w:val="bullet"/>
      <w:lvlText w:val="•"/>
      <w:lvlJc w:val="left"/>
      <w:pPr>
        <w:ind w:left="720" w:hanging="360"/>
      </w:pPr>
    </w:lvl>
    <w:lvl w:ilvl="1" w:tplc="48E03A44">
      <w:numFmt w:val="decimal"/>
      <w:lvlText w:val=""/>
      <w:lvlJc w:val="left"/>
    </w:lvl>
    <w:lvl w:ilvl="2" w:tplc="C6B6C2FC">
      <w:numFmt w:val="decimal"/>
      <w:lvlText w:val=""/>
      <w:lvlJc w:val="left"/>
    </w:lvl>
    <w:lvl w:ilvl="3" w:tplc="B60ED588">
      <w:numFmt w:val="decimal"/>
      <w:lvlText w:val=""/>
      <w:lvlJc w:val="left"/>
    </w:lvl>
    <w:lvl w:ilvl="4" w:tplc="3FE2131C">
      <w:numFmt w:val="decimal"/>
      <w:lvlText w:val=""/>
      <w:lvlJc w:val="left"/>
    </w:lvl>
    <w:lvl w:ilvl="5" w:tplc="826E2248">
      <w:numFmt w:val="decimal"/>
      <w:lvlText w:val=""/>
      <w:lvlJc w:val="left"/>
    </w:lvl>
    <w:lvl w:ilvl="6" w:tplc="90047F24">
      <w:numFmt w:val="decimal"/>
      <w:lvlText w:val=""/>
      <w:lvlJc w:val="left"/>
    </w:lvl>
    <w:lvl w:ilvl="7" w:tplc="F8C432F4">
      <w:numFmt w:val="decimal"/>
      <w:lvlText w:val=""/>
      <w:lvlJc w:val="left"/>
    </w:lvl>
    <w:lvl w:ilvl="8" w:tplc="3CE0E3EA">
      <w:numFmt w:val="decimal"/>
      <w:lvlText w:val=""/>
      <w:lvlJc w:val="left"/>
    </w:lvl>
  </w:abstractNum>
  <w:abstractNum w:abstractNumId="17" w15:restartNumberingAfterBreak="0">
    <w:nsid w:val="429B7CE8"/>
    <w:multiLevelType w:val="hybridMultilevel"/>
    <w:tmpl w:val="58343D20"/>
    <w:lvl w:ilvl="0" w:tplc="7F46012A">
      <w:start w:val="1"/>
      <w:numFmt w:val="bullet"/>
      <w:lvlText w:val="•"/>
      <w:lvlJc w:val="left"/>
      <w:pPr>
        <w:ind w:left="720" w:hanging="360"/>
      </w:pPr>
    </w:lvl>
    <w:lvl w:ilvl="1" w:tplc="1C4E35F2">
      <w:numFmt w:val="decimal"/>
      <w:lvlText w:val=""/>
      <w:lvlJc w:val="left"/>
    </w:lvl>
    <w:lvl w:ilvl="2" w:tplc="096E4366">
      <w:numFmt w:val="decimal"/>
      <w:lvlText w:val=""/>
      <w:lvlJc w:val="left"/>
    </w:lvl>
    <w:lvl w:ilvl="3" w:tplc="1116BA8E">
      <w:numFmt w:val="decimal"/>
      <w:lvlText w:val=""/>
      <w:lvlJc w:val="left"/>
    </w:lvl>
    <w:lvl w:ilvl="4" w:tplc="64D4738C">
      <w:numFmt w:val="decimal"/>
      <w:lvlText w:val=""/>
      <w:lvlJc w:val="left"/>
    </w:lvl>
    <w:lvl w:ilvl="5" w:tplc="4B1E3B0A">
      <w:numFmt w:val="decimal"/>
      <w:lvlText w:val=""/>
      <w:lvlJc w:val="left"/>
    </w:lvl>
    <w:lvl w:ilvl="6" w:tplc="5642B9C2">
      <w:numFmt w:val="decimal"/>
      <w:lvlText w:val=""/>
      <w:lvlJc w:val="left"/>
    </w:lvl>
    <w:lvl w:ilvl="7" w:tplc="DA1AB9DE">
      <w:numFmt w:val="decimal"/>
      <w:lvlText w:val=""/>
      <w:lvlJc w:val="left"/>
    </w:lvl>
    <w:lvl w:ilvl="8" w:tplc="F014B162">
      <w:numFmt w:val="decimal"/>
      <w:lvlText w:val=""/>
      <w:lvlJc w:val="left"/>
    </w:lvl>
  </w:abstractNum>
  <w:abstractNum w:abstractNumId="18" w15:restartNumberingAfterBreak="0">
    <w:nsid w:val="44B8792A"/>
    <w:multiLevelType w:val="hybridMultilevel"/>
    <w:tmpl w:val="067AEABA"/>
    <w:lvl w:ilvl="0" w:tplc="87D68E72">
      <w:start w:val="1"/>
      <w:numFmt w:val="bullet"/>
      <w:lvlText w:val="•"/>
      <w:lvlJc w:val="left"/>
      <w:pPr>
        <w:ind w:left="720" w:hanging="360"/>
      </w:pPr>
    </w:lvl>
    <w:lvl w:ilvl="1" w:tplc="4AC25AAE">
      <w:numFmt w:val="decimal"/>
      <w:lvlText w:val=""/>
      <w:lvlJc w:val="left"/>
    </w:lvl>
    <w:lvl w:ilvl="2" w:tplc="5CF48FCE">
      <w:numFmt w:val="decimal"/>
      <w:lvlText w:val=""/>
      <w:lvlJc w:val="left"/>
    </w:lvl>
    <w:lvl w:ilvl="3" w:tplc="73B673B8">
      <w:numFmt w:val="decimal"/>
      <w:lvlText w:val=""/>
      <w:lvlJc w:val="left"/>
    </w:lvl>
    <w:lvl w:ilvl="4" w:tplc="B97AFC44">
      <w:numFmt w:val="decimal"/>
      <w:lvlText w:val=""/>
      <w:lvlJc w:val="left"/>
    </w:lvl>
    <w:lvl w:ilvl="5" w:tplc="62A8436E">
      <w:numFmt w:val="decimal"/>
      <w:lvlText w:val=""/>
      <w:lvlJc w:val="left"/>
    </w:lvl>
    <w:lvl w:ilvl="6" w:tplc="35AC7F0E">
      <w:numFmt w:val="decimal"/>
      <w:lvlText w:val=""/>
      <w:lvlJc w:val="left"/>
    </w:lvl>
    <w:lvl w:ilvl="7" w:tplc="C52CCAE2">
      <w:numFmt w:val="decimal"/>
      <w:lvlText w:val=""/>
      <w:lvlJc w:val="left"/>
    </w:lvl>
    <w:lvl w:ilvl="8" w:tplc="FF90DFAC">
      <w:numFmt w:val="decimal"/>
      <w:lvlText w:val=""/>
      <w:lvlJc w:val="left"/>
    </w:lvl>
  </w:abstractNum>
  <w:abstractNum w:abstractNumId="19" w15:restartNumberingAfterBreak="0">
    <w:nsid w:val="46225B02"/>
    <w:multiLevelType w:val="hybridMultilevel"/>
    <w:tmpl w:val="3F6446D4"/>
    <w:lvl w:ilvl="0" w:tplc="B20AC986">
      <w:start w:val="1"/>
      <w:numFmt w:val="bullet"/>
      <w:lvlText w:val="•"/>
      <w:lvlJc w:val="left"/>
      <w:pPr>
        <w:ind w:left="720" w:hanging="360"/>
      </w:pPr>
    </w:lvl>
    <w:lvl w:ilvl="1" w:tplc="8C9832DE">
      <w:numFmt w:val="decimal"/>
      <w:lvlText w:val=""/>
      <w:lvlJc w:val="left"/>
    </w:lvl>
    <w:lvl w:ilvl="2" w:tplc="B428FB0C">
      <w:numFmt w:val="decimal"/>
      <w:lvlText w:val=""/>
      <w:lvlJc w:val="left"/>
    </w:lvl>
    <w:lvl w:ilvl="3" w:tplc="904AFC3A">
      <w:numFmt w:val="decimal"/>
      <w:lvlText w:val=""/>
      <w:lvlJc w:val="left"/>
    </w:lvl>
    <w:lvl w:ilvl="4" w:tplc="ED1A821C">
      <w:numFmt w:val="decimal"/>
      <w:lvlText w:val=""/>
      <w:lvlJc w:val="left"/>
    </w:lvl>
    <w:lvl w:ilvl="5" w:tplc="D2EAF7B4">
      <w:numFmt w:val="decimal"/>
      <w:lvlText w:val=""/>
      <w:lvlJc w:val="left"/>
    </w:lvl>
    <w:lvl w:ilvl="6" w:tplc="4B02D88C">
      <w:numFmt w:val="decimal"/>
      <w:lvlText w:val=""/>
      <w:lvlJc w:val="left"/>
    </w:lvl>
    <w:lvl w:ilvl="7" w:tplc="EE746306">
      <w:numFmt w:val="decimal"/>
      <w:lvlText w:val=""/>
      <w:lvlJc w:val="left"/>
    </w:lvl>
    <w:lvl w:ilvl="8" w:tplc="54AA650A">
      <w:numFmt w:val="decimal"/>
      <w:lvlText w:val=""/>
      <w:lvlJc w:val="left"/>
    </w:lvl>
  </w:abstractNum>
  <w:abstractNum w:abstractNumId="20" w15:restartNumberingAfterBreak="0">
    <w:nsid w:val="497A111B"/>
    <w:multiLevelType w:val="hybridMultilevel"/>
    <w:tmpl w:val="D4D4758E"/>
    <w:lvl w:ilvl="0" w:tplc="3C2E0E5C">
      <w:start w:val="1"/>
      <w:numFmt w:val="bullet"/>
      <w:lvlText w:val="•"/>
      <w:lvlJc w:val="left"/>
      <w:pPr>
        <w:ind w:left="720" w:hanging="360"/>
      </w:pPr>
    </w:lvl>
    <w:lvl w:ilvl="1" w:tplc="5BA4329A">
      <w:numFmt w:val="decimal"/>
      <w:lvlText w:val=""/>
      <w:lvlJc w:val="left"/>
    </w:lvl>
    <w:lvl w:ilvl="2" w:tplc="C33697DA">
      <w:numFmt w:val="decimal"/>
      <w:lvlText w:val=""/>
      <w:lvlJc w:val="left"/>
    </w:lvl>
    <w:lvl w:ilvl="3" w:tplc="3050D3E0">
      <w:numFmt w:val="decimal"/>
      <w:lvlText w:val=""/>
      <w:lvlJc w:val="left"/>
    </w:lvl>
    <w:lvl w:ilvl="4" w:tplc="CD56F400">
      <w:numFmt w:val="decimal"/>
      <w:lvlText w:val=""/>
      <w:lvlJc w:val="left"/>
    </w:lvl>
    <w:lvl w:ilvl="5" w:tplc="6A64DEA8">
      <w:numFmt w:val="decimal"/>
      <w:lvlText w:val=""/>
      <w:lvlJc w:val="left"/>
    </w:lvl>
    <w:lvl w:ilvl="6" w:tplc="7CA40FF6">
      <w:numFmt w:val="decimal"/>
      <w:lvlText w:val=""/>
      <w:lvlJc w:val="left"/>
    </w:lvl>
    <w:lvl w:ilvl="7" w:tplc="C6987134">
      <w:numFmt w:val="decimal"/>
      <w:lvlText w:val=""/>
      <w:lvlJc w:val="left"/>
    </w:lvl>
    <w:lvl w:ilvl="8" w:tplc="48069E78">
      <w:numFmt w:val="decimal"/>
      <w:lvlText w:val=""/>
      <w:lvlJc w:val="left"/>
    </w:lvl>
  </w:abstractNum>
  <w:abstractNum w:abstractNumId="21" w15:restartNumberingAfterBreak="0">
    <w:nsid w:val="4DF56A35"/>
    <w:multiLevelType w:val="multilevel"/>
    <w:tmpl w:val="7A0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B117D"/>
    <w:multiLevelType w:val="hybridMultilevel"/>
    <w:tmpl w:val="3BF6BF90"/>
    <w:lvl w:ilvl="0" w:tplc="89F4BB82">
      <w:start w:val="1"/>
      <w:numFmt w:val="bullet"/>
      <w:lvlText w:val="•"/>
      <w:lvlJc w:val="left"/>
      <w:pPr>
        <w:ind w:left="720" w:hanging="360"/>
      </w:pPr>
    </w:lvl>
    <w:lvl w:ilvl="1" w:tplc="1CE6E902">
      <w:numFmt w:val="decimal"/>
      <w:lvlText w:val=""/>
      <w:lvlJc w:val="left"/>
    </w:lvl>
    <w:lvl w:ilvl="2" w:tplc="9C980B8A">
      <w:numFmt w:val="decimal"/>
      <w:lvlText w:val=""/>
      <w:lvlJc w:val="left"/>
    </w:lvl>
    <w:lvl w:ilvl="3" w:tplc="17382D78">
      <w:numFmt w:val="decimal"/>
      <w:lvlText w:val=""/>
      <w:lvlJc w:val="left"/>
    </w:lvl>
    <w:lvl w:ilvl="4" w:tplc="C0C03190">
      <w:numFmt w:val="decimal"/>
      <w:lvlText w:val=""/>
      <w:lvlJc w:val="left"/>
    </w:lvl>
    <w:lvl w:ilvl="5" w:tplc="CB724D54">
      <w:numFmt w:val="decimal"/>
      <w:lvlText w:val=""/>
      <w:lvlJc w:val="left"/>
    </w:lvl>
    <w:lvl w:ilvl="6" w:tplc="F41A3AB0">
      <w:numFmt w:val="decimal"/>
      <w:lvlText w:val=""/>
      <w:lvlJc w:val="left"/>
    </w:lvl>
    <w:lvl w:ilvl="7" w:tplc="D1E49D36">
      <w:numFmt w:val="decimal"/>
      <w:lvlText w:val=""/>
      <w:lvlJc w:val="left"/>
    </w:lvl>
    <w:lvl w:ilvl="8" w:tplc="8A4E3C5E">
      <w:numFmt w:val="decimal"/>
      <w:lvlText w:val=""/>
      <w:lvlJc w:val="left"/>
    </w:lvl>
  </w:abstractNum>
  <w:abstractNum w:abstractNumId="23" w15:restartNumberingAfterBreak="0">
    <w:nsid w:val="6706203F"/>
    <w:multiLevelType w:val="hybridMultilevel"/>
    <w:tmpl w:val="9FD4159E"/>
    <w:lvl w:ilvl="0" w:tplc="9F8C48DE">
      <w:start w:val="1"/>
      <w:numFmt w:val="bullet"/>
      <w:lvlText w:val="•"/>
      <w:lvlJc w:val="left"/>
      <w:pPr>
        <w:ind w:left="720" w:hanging="360"/>
      </w:pPr>
    </w:lvl>
    <w:lvl w:ilvl="1" w:tplc="FD6CBE08">
      <w:numFmt w:val="decimal"/>
      <w:lvlText w:val=""/>
      <w:lvlJc w:val="left"/>
    </w:lvl>
    <w:lvl w:ilvl="2" w:tplc="AE2EBB36">
      <w:numFmt w:val="decimal"/>
      <w:lvlText w:val=""/>
      <w:lvlJc w:val="left"/>
    </w:lvl>
    <w:lvl w:ilvl="3" w:tplc="8EE45B5A">
      <w:numFmt w:val="decimal"/>
      <w:lvlText w:val=""/>
      <w:lvlJc w:val="left"/>
    </w:lvl>
    <w:lvl w:ilvl="4" w:tplc="283621AE">
      <w:numFmt w:val="decimal"/>
      <w:lvlText w:val=""/>
      <w:lvlJc w:val="left"/>
    </w:lvl>
    <w:lvl w:ilvl="5" w:tplc="72EA07F4">
      <w:numFmt w:val="decimal"/>
      <w:lvlText w:val=""/>
      <w:lvlJc w:val="left"/>
    </w:lvl>
    <w:lvl w:ilvl="6" w:tplc="746A7984">
      <w:numFmt w:val="decimal"/>
      <w:lvlText w:val=""/>
      <w:lvlJc w:val="left"/>
    </w:lvl>
    <w:lvl w:ilvl="7" w:tplc="1B5E5298">
      <w:numFmt w:val="decimal"/>
      <w:lvlText w:val=""/>
      <w:lvlJc w:val="left"/>
    </w:lvl>
    <w:lvl w:ilvl="8" w:tplc="25D6C52E">
      <w:numFmt w:val="decimal"/>
      <w:lvlText w:val=""/>
      <w:lvlJc w:val="left"/>
    </w:lvl>
  </w:abstractNum>
  <w:abstractNum w:abstractNumId="24" w15:restartNumberingAfterBreak="0">
    <w:nsid w:val="692C154E"/>
    <w:multiLevelType w:val="hybridMultilevel"/>
    <w:tmpl w:val="E9863C74"/>
    <w:lvl w:ilvl="0" w:tplc="AF5A7FC0">
      <w:start w:val="1"/>
      <w:numFmt w:val="bullet"/>
      <w:lvlText w:val="•"/>
      <w:lvlJc w:val="left"/>
      <w:pPr>
        <w:ind w:left="720" w:hanging="360"/>
      </w:pPr>
    </w:lvl>
    <w:lvl w:ilvl="1" w:tplc="5F4E97D2">
      <w:numFmt w:val="decimal"/>
      <w:lvlText w:val=""/>
      <w:lvlJc w:val="left"/>
    </w:lvl>
    <w:lvl w:ilvl="2" w:tplc="DE642C2A">
      <w:numFmt w:val="decimal"/>
      <w:lvlText w:val=""/>
      <w:lvlJc w:val="left"/>
    </w:lvl>
    <w:lvl w:ilvl="3" w:tplc="AF3AF89C">
      <w:numFmt w:val="decimal"/>
      <w:lvlText w:val=""/>
      <w:lvlJc w:val="left"/>
    </w:lvl>
    <w:lvl w:ilvl="4" w:tplc="0DF0ED1A">
      <w:numFmt w:val="decimal"/>
      <w:lvlText w:val=""/>
      <w:lvlJc w:val="left"/>
    </w:lvl>
    <w:lvl w:ilvl="5" w:tplc="9CF26E9E">
      <w:numFmt w:val="decimal"/>
      <w:lvlText w:val=""/>
      <w:lvlJc w:val="left"/>
    </w:lvl>
    <w:lvl w:ilvl="6" w:tplc="1CF2ECAC">
      <w:numFmt w:val="decimal"/>
      <w:lvlText w:val=""/>
      <w:lvlJc w:val="left"/>
    </w:lvl>
    <w:lvl w:ilvl="7" w:tplc="35B02F06">
      <w:numFmt w:val="decimal"/>
      <w:lvlText w:val=""/>
      <w:lvlJc w:val="left"/>
    </w:lvl>
    <w:lvl w:ilvl="8" w:tplc="8728B0EC">
      <w:numFmt w:val="decimal"/>
      <w:lvlText w:val=""/>
      <w:lvlJc w:val="left"/>
    </w:lvl>
  </w:abstractNum>
  <w:abstractNum w:abstractNumId="25" w15:restartNumberingAfterBreak="0">
    <w:nsid w:val="6B8B00F6"/>
    <w:multiLevelType w:val="hybridMultilevel"/>
    <w:tmpl w:val="207A4286"/>
    <w:lvl w:ilvl="0" w:tplc="65DE4F5A">
      <w:start w:val="1"/>
      <w:numFmt w:val="bullet"/>
      <w:lvlText w:val="•"/>
      <w:lvlJc w:val="left"/>
      <w:pPr>
        <w:ind w:left="720" w:hanging="360"/>
      </w:pPr>
    </w:lvl>
    <w:lvl w:ilvl="1" w:tplc="B5228E68">
      <w:numFmt w:val="decimal"/>
      <w:lvlText w:val=""/>
      <w:lvlJc w:val="left"/>
    </w:lvl>
    <w:lvl w:ilvl="2" w:tplc="C87258BA">
      <w:numFmt w:val="decimal"/>
      <w:lvlText w:val=""/>
      <w:lvlJc w:val="left"/>
    </w:lvl>
    <w:lvl w:ilvl="3" w:tplc="6B3AF544">
      <w:numFmt w:val="decimal"/>
      <w:lvlText w:val=""/>
      <w:lvlJc w:val="left"/>
    </w:lvl>
    <w:lvl w:ilvl="4" w:tplc="C86C6E58">
      <w:numFmt w:val="decimal"/>
      <w:lvlText w:val=""/>
      <w:lvlJc w:val="left"/>
    </w:lvl>
    <w:lvl w:ilvl="5" w:tplc="BF8C0286">
      <w:numFmt w:val="decimal"/>
      <w:lvlText w:val=""/>
      <w:lvlJc w:val="left"/>
    </w:lvl>
    <w:lvl w:ilvl="6" w:tplc="23A4D796">
      <w:numFmt w:val="decimal"/>
      <w:lvlText w:val=""/>
      <w:lvlJc w:val="left"/>
    </w:lvl>
    <w:lvl w:ilvl="7" w:tplc="201424CA">
      <w:numFmt w:val="decimal"/>
      <w:lvlText w:val=""/>
      <w:lvlJc w:val="left"/>
    </w:lvl>
    <w:lvl w:ilvl="8" w:tplc="E3E6AA8E">
      <w:numFmt w:val="decimal"/>
      <w:lvlText w:val=""/>
      <w:lvlJc w:val="left"/>
    </w:lvl>
  </w:abstractNum>
  <w:abstractNum w:abstractNumId="26" w15:restartNumberingAfterBreak="0">
    <w:nsid w:val="718434B2"/>
    <w:multiLevelType w:val="multilevel"/>
    <w:tmpl w:val="9C44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990110"/>
    <w:multiLevelType w:val="hybridMultilevel"/>
    <w:tmpl w:val="FED0231E"/>
    <w:lvl w:ilvl="0" w:tplc="8F96F47A">
      <w:start w:val="1"/>
      <w:numFmt w:val="bullet"/>
      <w:lvlText w:val="•"/>
      <w:lvlJc w:val="left"/>
      <w:pPr>
        <w:ind w:left="720" w:hanging="360"/>
      </w:pPr>
    </w:lvl>
    <w:lvl w:ilvl="1" w:tplc="79763DB8">
      <w:numFmt w:val="decimal"/>
      <w:lvlText w:val=""/>
      <w:lvlJc w:val="left"/>
    </w:lvl>
    <w:lvl w:ilvl="2" w:tplc="42E8307A">
      <w:numFmt w:val="decimal"/>
      <w:lvlText w:val=""/>
      <w:lvlJc w:val="left"/>
    </w:lvl>
    <w:lvl w:ilvl="3" w:tplc="333284E4">
      <w:numFmt w:val="decimal"/>
      <w:lvlText w:val=""/>
      <w:lvlJc w:val="left"/>
    </w:lvl>
    <w:lvl w:ilvl="4" w:tplc="99920F04">
      <w:numFmt w:val="decimal"/>
      <w:lvlText w:val=""/>
      <w:lvlJc w:val="left"/>
    </w:lvl>
    <w:lvl w:ilvl="5" w:tplc="62AE0554">
      <w:numFmt w:val="decimal"/>
      <w:lvlText w:val=""/>
      <w:lvlJc w:val="left"/>
    </w:lvl>
    <w:lvl w:ilvl="6" w:tplc="E4F2C2FA">
      <w:numFmt w:val="decimal"/>
      <w:lvlText w:val=""/>
      <w:lvlJc w:val="left"/>
    </w:lvl>
    <w:lvl w:ilvl="7" w:tplc="61F43D30">
      <w:numFmt w:val="decimal"/>
      <w:lvlText w:val=""/>
      <w:lvlJc w:val="left"/>
    </w:lvl>
    <w:lvl w:ilvl="8" w:tplc="EC96D9CC">
      <w:numFmt w:val="decimal"/>
      <w:lvlText w:val=""/>
      <w:lvlJc w:val="left"/>
    </w:lvl>
  </w:abstractNum>
  <w:abstractNum w:abstractNumId="28" w15:restartNumberingAfterBreak="0">
    <w:nsid w:val="73C10D73"/>
    <w:multiLevelType w:val="hybridMultilevel"/>
    <w:tmpl w:val="650E22DA"/>
    <w:lvl w:ilvl="0" w:tplc="66C4DE46">
      <w:start w:val="1"/>
      <w:numFmt w:val="bullet"/>
      <w:lvlText w:val="•"/>
      <w:lvlJc w:val="left"/>
      <w:pPr>
        <w:ind w:left="720" w:hanging="360"/>
      </w:pPr>
    </w:lvl>
    <w:lvl w:ilvl="1" w:tplc="C0F64E18">
      <w:numFmt w:val="decimal"/>
      <w:lvlText w:val=""/>
      <w:lvlJc w:val="left"/>
    </w:lvl>
    <w:lvl w:ilvl="2" w:tplc="56E2A000">
      <w:numFmt w:val="decimal"/>
      <w:lvlText w:val=""/>
      <w:lvlJc w:val="left"/>
    </w:lvl>
    <w:lvl w:ilvl="3" w:tplc="A7666944">
      <w:numFmt w:val="decimal"/>
      <w:lvlText w:val=""/>
      <w:lvlJc w:val="left"/>
    </w:lvl>
    <w:lvl w:ilvl="4" w:tplc="BAAA9F56">
      <w:numFmt w:val="decimal"/>
      <w:lvlText w:val=""/>
      <w:lvlJc w:val="left"/>
    </w:lvl>
    <w:lvl w:ilvl="5" w:tplc="1EB68F2A">
      <w:numFmt w:val="decimal"/>
      <w:lvlText w:val=""/>
      <w:lvlJc w:val="left"/>
    </w:lvl>
    <w:lvl w:ilvl="6" w:tplc="B922DCCC">
      <w:numFmt w:val="decimal"/>
      <w:lvlText w:val=""/>
      <w:lvlJc w:val="left"/>
    </w:lvl>
    <w:lvl w:ilvl="7" w:tplc="0416360A">
      <w:numFmt w:val="decimal"/>
      <w:lvlText w:val=""/>
      <w:lvlJc w:val="left"/>
    </w:lvl>
    <w:lvl w:ilvl="8" w:tplc="8B3633C2">
      <w:numFmt w:val="decimal"/>
      <w:lvlText w:val=""/>
      <w:lvlJc w:val="left"/>
    </w:lvl>
  </w:abstractNum>
  <w:abstractNum w:abstractNumId="29" w15:restartNumberingAfterBreak="0">
    <w:nsid w:val="7BA076C0"/>
    <w:multiLevelType w:val="multilevel"/>
    <w:tmpl w:val="DA90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E31758"/>
    <w:multiLevelType w:val="multilevel"/>
    <w:tmpl w:val="9F80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692921"/>
    <w:multiLevelType w:val="hybridMultilevel"/>
    <w:tmpl w:val="35CAD206"/>
    <w:lvl w:ilvl="0" w:tplc="D4FECB1E">
      <w:start w:val="1"/>
      <w:numFmt w:val="bullet"/>
      <w:lvlText w:val="•"/>
      <w:lvlJc w:val="left"/>
      <w:pPr>
        <w:ind w:left="720" w:hanging="360"/>
      </w:pPr>
    </w:lvl>
    <w:lvl w:ilvl="1" w:tplc="B80C3CAC">
      <w:numFmt w:val="decimal"/>
      <w:lvlText w:val=""/>
      <w:lvlJc w:val="left"/>
    </w:lvl>
    <w:lvl w:ilvl="2" w:tplc="14186388">
      <w:numFmt w:val="decimal"/>
      <w:lvlText w:val=""/>
      <w:lvlJc w:val="left"/>
    </w:lvl>
    <w:lvl w:ilvl="3" w:tplc="CC101F22">
      <w:numFmt w:val="decimal"/>
      <w:lvlText w:val=""/>
      <w:lvlJc w:val="left"/>
    </w:lvl>
    <w:lvl w:ilvl="4" w:tplc="C52263CC">
      <w:numFmt w:val="decimal"/>
      <w:lvlText w:val=""/>
      <w:lvlJc w:val="left"/>
    </w:lvl>
    <w:lvl w:ilvl="5" w:tplc="DFF09AFE">
      <w:numFmt w:val="decimal"/>
      <w:lvlText w:val=""/>
      <w:lvlJc w:val="left"/>
    </w:lvl>
    <w:lvl w:ilvl="6" w:tplc="867A6C9E">
      <w:numFmt w:val="decimal"/>
      <w:lvlText w:val=""/>
      <w:lvlJc w:val="left"/>
    </w:lvl>
    <w:lvl w:ilvl="7" w:tplc="773A495C">
      <w:numFmt w:val="decimal"/>
      <w:lvlText w:val=""/>
      <w:lvlJc w:val="left"/>
    </w:lvl>
    <w:lvl w:ilvl="8" w:tplc="D3865ABC">
      <w:numFmt w:val="decimal"/>
      <w:lvlText w:val=""/>
      <w:lvlJc w:val="left"/>
    </w:lvl>
  </w:abstractNum>
  <w:num w:numId="1">
    <w:abstractNumId w:val="5"/>
    <w:lvlOverride w:ilvl="0">
      <w:startOverride w:val="1"/>
    </w:lvlOverride>
  </w:num>
  <w:num w:numId="2">
    <w:abstractNumId w:val="1"/>
    <w:lvlOverride w:ilvl="0">
      <w:startOverride w:val="1"/>
    </w:lvlOverride>
  </w:num>
  <w:num w:numId="3">
    <w:abstractNumId w:val="22"/>
    <w:lvlOverride w:ilvl="0">
      <w:startOverride w:val="1"/>
    </w:lvlOverride>
  </w:num>
  <w:num w:numId="4">
    <w:abstractNumId w:val="13"/>
    <w:lvlOverride w:ilvl="0">
      <w:startOverride w:val="1"/>
    </w:lvlOverride>
  </w:num>
  <w:num w:numId="5">
    <w:abstractNumId w:val="16"/>
    <w:lvlOverride w:ilvl="0">
      <w:startOverride w:val="1"/>
    </w:lvlOverride>
  </w:num>
  <w:num w:numId="6">
    <w:abstractNumId w:val="20"/>
    <w:lvlOverride w:ilvl="0">
      <w:startOverride w:val="1"/>
    </w:lvlOverride>
  </w:num>
  <w:num w:numId="7">
    <w:abstractNumId w:val="9"/>
    <w:lvlOverride w:ilvl="0">
      <w:startOverride w:val="1"/>
    </w:lvlOverride>
  </w:num>
  <w:num w:numId="8">
    <w:abstractNumId w:val="0"/>
  </w:num>
  <w:num w:numId="9">
    <w:abstractNumId w:val="3"/>
  </w:num>
  <w:num w:numId="10">
    <w:abstractNumId w:val="10"/>
  </w:num>
  <w:num w:numId="11">
    <w:abstractNumId w:val="26"/>
  </w:num>
  <w:num w:numId="12">
    <w:abstractNumId w:val="29"/>
  </w:num>
  <w:num w:numId="13">
    <w:abstractNumId w:val="12"/>
  </w:num>
  <w:num w:numId="14">
    <w:abstractNumId w:val="30"/>
  </w:num>
  <w:num w:numId="15">
    <w:abstractNumId w:val="6"/>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8C8"/>
    <w:rsid w:val="00014998"/>
    <w:rsid w:val="00020F3F"/>
    <w:rsid w:val="00031CE9"/>
    <w:rsid w:val="000430A0"/>
    <w:rsid w:val="00051980"/>
    <w:rsid w:val="00054479"/>
    <w:rsid w:val="0005609A"/>
    <w:rsid w:val="00060FD7"/>
    <w:rsid w:val="00072A09"/>
    <w:rsid w:val="000903CB"/>
    <w:rsid w:val="000A0F06"/>
    <w:rsid w:val="000A10FC"/>
    <w:rsid w:val="000B714F"/>
    <w:rsid w:val="000F25FA"/>
    <w:rsid w:val="001249C6"/>
    <w:rsid w:val="00124ABA"/>
    <w:rsid w:val="0012598D"/>
    <w:rsid w:val="00132C7A"/>
    <w:rsid w:val="001330D0"/>
    <w:rsid w:val="00137642"/>
    <w:rsid w:val="00142EB2"/>
    <w:rsid w:val="00180BC7"/>
    <w:rsid w:val="001925E9"/>
    <w:rsid w:val="001A0B03"/>
    <w:rsid w:val="001C783D"/>
    <w:rsid w:val="001D1F3F"/>
    <w:rsid w:val="001E14D6"/>
    <w:rsid w:val="001E2D52"/>
    <w:rsid w:val="001E48C8"/>
    <w:rsid w:val="001F3240"/>
    <w:rsid w:val="001F7B21"/>
    <w:rsid w:val="002109AA"/>
    <w:rsid w:val="002217E0"/>
    <w:rsid w:val="00224249"/>
    <w:rsid w:val="002277CE"/>
    <w:rsid w:val="002357D5"/>
    <w:rsid w:val="00241B39"/>
    <w:rsid w:val="00247215"/>
    <w:rsid w:val="00255FB3"/>
    <w:rsid w:val="00262AD6"/>
    <w:rsid w:val="002717BF"/>
    <w:rsid w:val="00276B30"/>
    <w:rsid w:val="00276CC2"/>
    <w:rsid w:val="00276F72"/>
    <w:rsid w:val="00280167"/>
    <w:rsid w:val="00292B07"/>
    <w:rsid w:val="00293F82"/>
    <w:rsid w:val="002A4B1E"/>
    <w:rsid w:val="002A7067"/>
    <w:rsid w:val="002C3D62"/>
    <w:rsid w:val="002D6BAC"/>
    <w:rsid w:val="002E0F9D"/>
    <w:rsid w:val="002E764A"/>
    <w:rsid w:val="002F7872"/>
    <w:rsid w:val="003002A2"/>
    <w:rsid w:val="00306324"/>
    <w:rsid w:val="00315E50"/>
    <w:rsid w:val="003205EF"/>
    <w:rsid w:val="00335E07"/>
    <w:rsid w:val="00341679"/>
    <w:rsid w:val="003563CB"/>
    <w:rsid w:val="00365845"/>
    <w:rsid w:val="003763E3"/>
    <w:rsid w:val="0038114A"/>
    <w:rsid w:val="00387BFE"/>
    <w:rsid w:val="00395FA6"/>
    <w:rsid w:val="003A0972"/>
    <w:rsid w:val="003A1699"/>
    <w:rsid w:val="003A523C"/>
    <w:rsid w:val="003A6A18"/>
    <w:rsid w:val="003A70C9"/>
    <w:rsid w:val="003B293A"/>
    <w:rsid w:val="003D21D7"/>
    <w:rsid w:val="003D2D34"/>
    <w:rsid w:val="003D5911"/>
    <w:rsid w:val="003D64D1"/>
    <w:rsid w:val="003E7A4E"/>
    <w:rsid w:val="004012F8"/>
    <w:rsid w:val="0041497D"/>
    <w:rsid w:val="00423B3A"/>
    <w:rsid w:val="00426436"/>
    <w:rsid w:val="00430AD7"/>
    <w:rsid w:val="004350F2"/>
    <w:rsid w:val="00442FC3"/>
    <w:rsid w:val="00465B2D"/>
    <w:rsid w:val="0046706B"/>
    <w:rsid w:val="00467B46"/>
    <w:rsid w:val="004739D4"/>
    <w:rsid w:val="004819DD"/>
    <w:rsid w:val="00492241"/>
    <w:rsid w:val="004A2A6D"/>
    <w:rsid w:val="004B06CF"/>
    <w:rsid w:val="004C0C10"/>
    <w:rsid w:val="004C29E6"/>
    <w:rsid w:val="004C2FD5"/>
    <w:rsid w:val="004C7A21"/>
    <w:rsid w:val="004D0D3A"/>
    <w:rsid w:val="004D3E5C"/>
    <w:rsid w:val="004F7BDA"/>
    <w:rsid w:val="00502D28"/>
    <w:rsid w:val="005337BD"/>
    <w:rsid w:val="0055041A"/>
    <w:rsid w:val="00553F39"/>
    <w:rsid w:val="00570AA3"/>
    <w:rsid w:val="00570F6D"/>
    <w:rsid w:val="00577DB6"/>
    <w:rsid w:val="0058294E"/>
    <w:rsid w:val="00585C28"/>
    <w:rsid w:val="005A4CA2"/>
    <w:rsid w:val="005C4EBB"/>
    <w:rsid w:val="005D028A"/>
    <w:rsid w:val="005D2434"/>
    <w:rsid w:val="005F2CB2"/>
    <w:rsid w:val="00621349"/>
    <w:rsid w:val="00640B5F"/>
    <w:rsid w:val="006521EE"/>
    <w:rsid w:val="006657C1"/>
    <w:rsid w:val="00665AC2"/>
    <w:rsid w:val="006926AD"/>
    <w:rsid w:val="006926B2"/>
    <w:rsid w:val="006A0BDB"/>
    <w:rsid w:val="006A2418"/>
    <w:rsid w:val="006C1AC8"/>
    <w:rsid w:val="006D7223"/>
    <w:rsid w:val="0071181C"/>
    <w:rsid w:val="00714DEE"/>
    <w:rsid w:val="007178DA"/>
    <w:rsid w:val="00720EE6"/>
    <w:rsid w:val="007276BE"/>
    <w:rsid w:val="0073475F"/>
    <w:rsid w:val="00753258"/>
    <w:rsid w:val="00766919"/>
    <w:rsid w:val="007718C6"/>
    <w:rsid w:val="00773A1C"/>
    <w:rsid w:val="00792ED3"/>
    <w:rsid w:val="007A4366"/>
    <w:rsid w:val="00806C86"/>
    <w:rsid w:val="00873560"/>
    <w:rsid w:val="00893236"/>
    <w:rsid w:val="008B2791"/>
    <w:rsid w:val="008B6242"/>
    <w:rsid w:val="008B768D"/>
    <w:rsid w:val="008D4240"/>
    <w:rsid w:val="008E3F2B"/>
    <w:rsid w:val="008E4AFD"/>
    <w:rsid w:val="008F17FD"/>
    <w:rsid w:val="00906A40"/>
    <w:rsid w:val="0091789A"/>
    <w:rsid w:val="00923467"/>
    <w:rsid w:val="00924A8A"/>
    <w:rsid w:val="00932AFF"/>
    <w:rsid w:val="00943760"/>
    <w:rsid w:val="009464D0"/>
    <w:rsid w:val="009466B0"/>
    <w:rsid w:val="00960A53"/>
    <w:rsid w:val="00961C22"/>
    <w:rsid w:val="009657C0"/>
    <w:rsid w:val="00981F44"/>
    <w:rsid w:val="00987B9D"/>
    <w:rsid w:val="009A7939"/>
    <w:rsid w:val="009B405D"/>
    <w:rsid w:val="00A0057A"/>
    <w:rsid w:val="00A02230"/>
    <w:rsid w:val="00A63BFD"/>
    <w:rsid w:val="00A93B58"/>
    <w:rsid w:val="00AB782C"/>
    <w:rsid w:val="00AD6161"/>
    <w:rsid w:val="00AD7F1B"/>
    <w:rsid w:val="00AE65F3"/>
    <w:rsid w:val="00B01A7F"/>
    <w:rsid w:val="00B01ADA"/>
    <w:rsid w:val="00BA1742"/>
    <w:rsid w:val="00BB7ACA"/>
    <w:rsid w:val="00BC1110"/>
    <w:rsid w:val="00BC2FB7"/>
    <w:rsid w:val="00BD62FA"/>
    <w:rsid w:val="00BE389E"/>
    <w:rsid w:val="00BE6A0C"/>
    <w:rsid w:val="00C03B10"/>
    <w:rsid w:val="00C05A6C"/>
    <w:rsid w:val="00C060DE"/>
    <w:rsid w:val="00C12F49"/>
    <w:rsid w:val="00C15A89"/>
    <w:rsid w:val="00C22D43"/>
    <w:rsid w:val="00C25337"/>
    <w:rsid w:val="00C309F8"/>
    <w:rsid w:val="00C82111"/>
    <w:rsid w:val="00C8320F"/>
    <w:rsid w:val="00C965E2"/>
    <w:rsid w:val="00CA357C"/>
    <w:rsid w:val="00CA6CA9"/>
    <w:rsid w:val="00CB0E50"/>
    <w:rsid w:val="00CB5788"/>
    <w:rsid w:val="00CE4332"/>
    <w:rsid w:val="00CE6502"/>
    <w:rsid w:val="00D0008F"/>
    <w:rsid w:val="00D0649E"/>
    <w:rsid w:val="00D07847"/>
    <w:rsid w:val="00D24F79"/>
    <w:rsid w:val="00D36553"/>
    <w:rsid w:val="00D37425"/>
    <w:rsid w:val="00D4325E"/>
    <w:rsid w:val="00D44F2F"/>
    <w:rsid w:val="00D73B93"/>
    <w:rsid w:val="00DA0870"/>
    <w:rsid w:val="00DB0B3D"/>
    <w:rsid w:val="00DC05BE"/>
    <w:rsid w:val="00DE268D"/>
    <w:rsid w:val="00DE488A"/>
    <w:rsid w:val="00DE5547"/>
    <w:rsid w:val="00DF16F2"/>
    <w:rsid w:val="00E0350E"/>
    <w:rsid w:val="00E250C3"/>
    <w:rsid w:val="00E34D0C"/>
    <w:rsid w:val="00E354EC"/>
    <w:rsid w:val="00E36220"/>
    <w:rsid w:val="00E4192E"/>
    <w:rsid w:val="00E42A0A"/>
    <w:rsid w:val="00E57468"/>
    <w:rsid w:val="00E75F75"/>
    <w:rsid w:val="00EB0658"/>
    <w:rsid w:val="00EB6FC9"/>
    <w:rsid w:val="00EC38F9"/>
    <w:rsid w:val="00EC497A"/>
    <w:rsid w:val="00ED72AE"/>
    <w:rsid w:val="00ED74AC"/>
    <w:rsid w:val="00EE76B4"/>
    <w:rsid w:val="00EF6E6B"/>
    <w:rsid w:val="00F02149"/>
    <w:rsid w:val="00F04781"/>
    <w:rsid w:val="00F245D1"/>
    <w:rsid w:val="00F537C2"/>
    <w:rsid w:val="00F67997"/>
    <w:rsid w:val="00F7793B"/>
    <w:rsid w:val="00F863A0"/>
    <w:rsid w:val="00FB7B96"/>
    <w:rsid w:val="00FE2937"/>
    <w:rsid w:val="00FF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FAFB"/>
  <w15:docId w15:val="{2BF688E3-A0D5-C847-A880-4C9200B8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link w:val="Heading1Char"/>
    <w:uiPriority w:val="9"/>
    <w:qFormat/>
    <w:pPr>
      <w:spacing w:before="280" w:after="120"/>
      <w:outlineLvl w:val="0"/>
    </w:pPr>
    <w:rPr>
      <w:b/>
      <w:bCs/>
      <w:sz w:val="26"/>
      <w:szCs w:val="26"/>
    </w:rPr>
  </w:style>
  <w:style w:type="paragraph" w:styleId="Heading2">
    <w:name w:val="heading 2"/>
    <w:uiPriority w:val="9"/>
    <w:semiHidden/>
    <w:unhideWhenUsed/>
    <w:qFormat/>
    <w:pPr>
      <w:spacing w:before="200" w:after="80"/>
      <w:outlineLvl w:val="1"/>
    </w:pPr>
    <w:rPr>
      <w:b/>
      <w:bCs/>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GridTable1Light">
    <w:name w:val="Grid Table 1 Light"/>
    <w:basedOn w:val="TableNormal"/>
    <w:uiPriority w:val="46"/>
    <w:rsid w:val="005D028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C309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9F8"/>
    <w:rPr>
      <w:rFonts w:ascii="Segoe UI" w:hAnsi="Segoe UI" w:cs="Segoe UI"/>
      <w:sz w:val="18"/>
      <w:szCs w:val="18"/>
    </w:rPr>
  </w:style>
  <w:style w:type="character" w:styleId="CommentReference">
    <w:name w:val="annotation reference"/>
    <w:basedOn w:val="DefaultParagraphFont"/>
    <w:uiPriority w:val="99"/>
    <w:semiHidden/>
    <w:unhideWhenUsed/>
    <w:rsid w:val="006C1AC8"/>
    <w:rPr>
      <w:sz w:val="16"/>
      <w:szCs w:val="16"/>
    </w:rPr>
  </w:style>
  <w:style w:type="paragraph" w:styleId="CommentText">
    <w:name w:val="annotation text"/>
    <w:basedOn w:val="Normal"/>
    <w:link w:val="CommentTextChar"/>
    <w:uiPriority w:val="99"/>
    <w:unhideWhenUsed/>
    <w:rsid w:val="006C1AC8"/>
    <w:rPr>
      <w:sz w:val="20"/>
      <w:szCs w:val="20"/>
    </w:rPr>
  </w:style>
  <w:style w:type="character" w:customStyle="1" w:styleId="CommentTextChar">
    <w:name w:val="Comment Text Char"/>
    <w:basedOn w:val="DefaultParagraphFont"/>
    <w:link w:val="CommentText"/>
    <w:uiPriority w:val="99"/>
    <w:rsid w:val="006C1AC8"/>
    <w:rPr>
      <w:sz w:val="20"/>
      <w:szCs w:val="20"/>
    </w:rPr>
  </w:style>
  <w:style w:type="paragraph" w:styleId="CommentSubject">
    <w:name w:val="annotation subject"/>
    <w:basedOn w:val="CommentText"/>
    <w:next w:val="CommentText"/>
    <w:link w:val="CommentSubjectChar"/>
    <w:uiPriority w:val="99"/>
    <w:semiHidden/>
    <w:unhideWhenUsed/>
    <w:rsid w:val="006C1AC8"/>
    <w:rPr>
      <w:b/>
      <w:bCs/>
    </w:rPr>
  </w:style>
  <w:style w:type="character" w:customStyle="1" w:styleId="CommentSubjectChar">
    <w:name w:val="Comment Subject Char"/>
    <w:basedOn w:val="CommentTextChar"/>
    <w:link w:val="CommentSubject"/>
    <w:uiPriority w:val="99"/>
    <w:semiHidden/>
    <w:rsid w:val="006C1AC8"/>
    <w:rPr>
      <w:b/>
      <w:bCs/>
      <w:sz w:val="20"/>
      <w:szCs w:val="20"/>
    </w:rPr>
  </w:style>
  <w:style w:type="paragraph" w:styleId="Revision">
    <w:name w:val="Revision"/>
    <w:hidden/>
    <w:uiPriority w:val="99"/>
    <w:semiHidden/>
    <w:rsid w:val="00D07847"/>
  </w:style>
  <w:style w:type="paragraph" w:customStyle="1" w:styleId="p1">
    <w:name w:val="p1"/>
    <w:basedOn w:val="Normal"/>
    <w:rsid w:val="00D07847"/>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DefaultParagraphFont"/>
    <w:rsid w:val="00D07847"/>
  </w:style>
  <w:style w:type="paragraph" w:styleId="Footer">
    <w:name w:val="footer"/>
    <w:basedOn w:val="Normal"/>
    <w:link w:val="FooterChar"/>
    <w:uiPriority w:val="99"/>
    <w:unhideWhenUsed/>
    <w:rsid w:val="001E2D52"/>
    <w:pPr>
      <w:tabs>
        <w:tab w:val="center" w:pos="4680"/>
        <w:tab w:val="right" w:pos="9360"/>
      </w:tabs>
    </w:pPr>
  </w:style>
  <w:style w:type="character" w:customStyle="1" w:styleId="FooterChar">
    <w:name w:val="Footer Char"/>
    <w:basedOn w:val="DefaultParagraphFont"/>
    <w:link w:val="Footer"/>
    <w:uiPriority w:val="99"/>
    <w:rsid w:val="001E2D52"/>
  </w:style>
  <w:style w:type="character" w:customStyle="1" w:styleId="Heading1Char">
    <w:name w:val="Heading 1 Char"/>
    <w:basedOn w:val="DefaultParagraphFont"/>
    <w:link w:val="Heading1"/>
    <w:uiPriority w:val="9"/>
    <w:rsid w:val="0005609A"/>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90308">
      <w:bodyDiv w:val="1"/>
      <w:marLeft w:val="0"/>
      <w:marRight w:val="0"/>
      <w:marTop w:val="0"/>
      <w:marBottom w:val="0"/>
      <w:divBdr>
        <w:top w:val="none" w:sz="0" w:space="0" w:color="auto"/>
        <w:left w:val="none" w:sz="0" w:space="0" w:color="auto"/>
        <w:bottom w:val="none" w:sz="0" w:space="0" w:color="auto"/>
        <w:right w:val="none" w:sz="0" w:space="0" w:color="auto"/>
      </w:divBdr>
    </w:div>
    <w:div w:id="352192905">
      <w:bodyDiv w:val="1"/>
      <w:marLeft w:val="0"/>
      <w:marRight w:val="0"/>
      <w:marTop w:val="0"/>
      <w:marBottom w:val="0"/>
      <w:divBdr>
        <w:top w:val="none" w:sz="0" w:space="0" w:color="auto"/>
        <w:left w:val="none" w:sz="0" w:space="0" w:color="auto"/>
        <w:bottom w:val="none" w:sz="0" w:space="0" w:color="auto"/>
        <w:right w:val="none" w:sz="0" w:space="0" w:color="auto"/>
      </w:divBdr>
    </w:div>
    <w:div w:id="467672619">
      <w:bodyDiv w:val="1"/>
      <w:marLeft w:val="0"/>
      <w:marRight w:val="0"/>
      <w:marTop w:val="0"/>
      <w:marBottom w:val="0"/>
      <w:divBdr>
        <w:top w:val="none" w:sz="0" w:space="0" w:color="auto"/>
        <w:left w:val="none" w:sz="0" w:space="0" w:color="auto"/>
        <w:bottom w:val="none" w:sz="0" w:space="0" w:color="auto"/>
        <w:right w:val="none" w:sz="0" w:space="0" w:color="auto"/>
      </w:divBdr>
    </w:div>
    <w:div w:id="576861285">
      <w:bodyDiv w:val="1"/>
      <w:marLeft w:val="0"/>
      <w:marRight w:val="0"/>
      <w:marTop w:val="0"/>
      <w:marBottom w:val="0"/>
      <w:divBdr>
        <w:top w:val="none" w:sz="0" w:space="0" w:color="auto"/>
        <w:left w:val="none" w:sz="0" w:space="0" w:color="auto"/>
        <w:bottom w:val="none" w:sz="0" w:space="0" w:color="auto"/>
        <w:right w:val="none" w:sz="0" w:space="0" w:color="auto"/>
      </w:divBdr>
    </w:div>
    <w:div w:id="802234398">
      <w:bodyDiv w:val="1"/>
      <w:marLeft w:val="0"/>
      <w:marRight w:val="0"/>
      <w:marTop w:val="0"/>
      <w:marBottom w:val="0"/>
      <w:divBdr>
        <w:top w:val="none" w:sz="0" w:space="0" w:color="auto"/>
        <w:left w:val="none" w:sz="0" w:space="0" w:color="auto"/>
        <w:bottom w:val="none" w:sz="0" w:space="0" w:color="auto"/>
        <w:right w:val="none" w:sz="0" w:space="0" w:color="auto"/>
      </w:divBdr>
    </w:div>
    <w:div w:id="903947588">
      <w:bodyDiv w:val="1"/>
      <w:marLeft w:val="0"/>
      <w:marRight w:val="0"/>
      <w:marTop w:val="0"/>
      <w:marBottom w:val="0"/>
      <w:divBdr>
        <w:top w:val="none" w:sz="0" w:space="0" w:color="auto"/>
        <w:left w:val="none" w:sz="0" w:space="0" w:color="auto"/>
        <w:bottom w:val="none" w:sz="0" w:space="0" w:color="auto"/>
        <w:right w:val="none" w:sz="0" w:space="0" w:color="auto"/>
      </w:divBdr>
    </w:div>
    <w:div w:id="1484351645">
      <w:bodyDiv w:val="1"/>
      <w:marLeft w:val="0"/>
      <w:marRight w:val="0"/>
      <w:marTop w:val="0"/>
      <w:marBottom w:val="0"/>
      <w:divBdr>
        <w:top w:val="none" w:sz="0" w:space="0" w:color="auto"/>
        <w:left w:val="none" w:sz="0" w:space="0" w:color="auto"/>
        <w:bottom w:val="none" w:sz="0" w:space="0" w:color="auto"/>
        <w:right w:val="none" w:sz="0" w:space="0" w:color="auto"/>
      </w:divBdr>
    </w:div>
    <w:div w:id="1513956070">
      <w:bodyDiv w:val="1"/>
      <w:marLeft w:val="0"/>
      <w:marRight w:val="0"/>
      <w:marTop w:val="0"/>
      <w:marBottom w:val="0"/>
      <w:divBdr>
        <w:top w:val="none" w:sz="0" w:space="0" w:color="auto"/>
        <w:left w:val="none" w:sz="0" w:space="0" w:color="auto"/>
        <w:bottom w:val="none" w:sz="0" w:space="0" w:color="auto"/>
        <w:right w:val="none" w:sz="0" w:space="0" w:color="auto"/>
      </w:divBdr>
    </w:div>
    <w:div w:id="1533762081">
      <w:bodyDiv w:val="1"/>
      <w:marLeft w:val="0"/>
      <w:marRight w:val="0"/>
      <w:marTop w:val="0"/>
      <w:marBottom w:val="0"/>
      <w:divBdr>
        <w:top w:val="none" w:sz="0" w:space="0" w:color="auto"/>
        <w:left w:val="none" w:sz="0" w:space="0" w:color="auto"/>
        <w:bottom w:val="none" w:sz="0" w:space="0" w:color="auto"/>
        <w:right w:val="none" w:sz="0" w:space="0" w:color="auto"/>
      </w:divBdr>
    </w:div>
    <w:div w:id="1918440008">
      <w:bodyDiv w:val="1"/>
      <w:marLeft w:val="0"/>
      <w:marRight w:val="0"/>
      <w:marTop w:val="0"/>
      <w:marBottom w:val="0"/>
      <w:divBdr>
        <w:top w:val="none" w:sz="0" w:space="0" w:color="auto"/>
        <w:left w:val="none" w:sz="0" w:space="0" w:color="auto"/>
        <w:bottom w:val="none" w:sz="0" w:space="0" w:color="auto"/>
        <w:right w:val="none" w:sz="0" w:space="0" w:color="auto"/>
      </w:divBdr>
    </w:div>
    <w:div w:id="2134470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8" Type="http://schemas.microsoft.com/office/2020/relationships/commentsIds" Target="commentsIds0.xml"/><Relationship Id="rId3" Type="http://schemas.openxmlformats.org/officeDocument/2006/relationships/settings" Target="settings.xml"/><Relationship Id="rId7" Type="http://schemas.openxmlformats.org/officeDocument/2006/relationships/footer" Target="footer1.xml"/><Relationship Id="rId17" Type="http://schemas.microsoft.com/office/2018/relationships/commentsExtensible" Target="commentsExtensi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3380</Words>
  <Characters>19272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Đorđe Perišić</cp:lastModifiedBy>
  <cp:revision>3</cp:revision>
  <dcterms:created xsi:type="dcterms:W3CDTF">2026-05-27T08:49:00Z</dcterms:created>
  <dcterms:modified xsi:type="dcterms:W3CDTF">2026-05-27T08:51:00Z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1d269d9,50a47ce,6b4a9f97</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2026-05-07T12:25:41Z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6afa6b44-a642-4ad3-aa5f-08c09c70c411</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